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赴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新加坡国立大学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National University of Singapore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6寒假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eastAsia="zh-CN"/>
        </w:rPr>
        <w:t>商业与金融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”访学项目</w:t>
      </w:r>
    </w:p>
    <w:p>
      <w:pPr>
        <w:widowControl/>
        <w:spacing w:line="360" w:lineRule="auto"/>
        <w:jc w:val="center"/>
        <w:rPr>
          <w:rFonts w:hint="default" w:asciiTheme="minorHAnsi" w:hAnsiTheme="minorHAnsi" w:eastAsiaTheme="majorEastAsia" w:cstheme="minorHAnsi"/>
          <w:b/>
          <w:bCs w:val="0"/>
          <w:szCs w:val="21"/>
          <w:highlight w:val="none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 w:val="0"/>
          <w:szCs w:val="21"/>
          <w:highlight w:val="none"/>
          <w:lang w:val="en-US" w:eastAsia="zh-CN"/>
        </w:rPr>
        <w:t xml:space="preserve"> 2026年1月24月-1月31日（暂定）</w:t>
      </w:r>
    </w:p>
    <w:p>
      <w:pPr>
        <w:pStyle w:val="18"/>
        <w:widowControl/>
        <w:spacing w:line="360" w:lineRule="auto"/>
        <w:ind w:firstLine="0" w:firstLineChars="0"/>
        <w:jc w:val="left"/>
        <w:rPr>
          <w:rFonts w:hint="default" w:eastAsia="宋体" w:asciiTheme="minorHAnsi" w:hAnsiTheme="minorHAnsi" w:cstheme="minorHAnsi"/>
          <w:kern w:val="0"/>
          <w:sz w:val="21"/>
          <w:szCs w:val="21"/>
          <w:lang w:eastAsia="zh-CN" w:bidi="ar-SA"/>
        </w:rPr>
      </w:pPr>
    </w:p>
    <w:p>
      <w:pPr>
        <w:pStyle w:val="18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一、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新加坡国立大学（National University of Singapore），简称国大（NUS），</w:t>
      </w:r>
      <w:r>
        <w:rPr>
          <w:rFonts w:hint="eastAsia"/>
        </w:rPr>
        <w:t>始创于</w:t>
      </w:r>
      <w:r>
        <w:rPr>
          <w:rFonts w:hint="eastAsia" w:eastAsia="宋体" w:asciiTheme="minorHAnsi" w:hAnsiTheme="minorHAnsi" w:cstheme="minorHAnsi"/>
          <w:kern w:val="0"/>
          <w:szCs w:val="21"/>
        </w:rPr>
        <w:t>1905</w:t>
      </w:r>
      <w:r>
        <w:rPr>
          <w:rFonts w:hint="eastAsia"/>
        </w:rPr>
        <w:t>年，</w:t>
      </w:r>
      <w:r>
        <w:rPr>
          <w:rFonts w:hint="eastAsia" w:asciiTheme="minorHAnsi" w:hAnsiTheme="minorHAnsi" w:cstheme="minorHAnsi"/>
          <w:kern w:val="0"/>
          <w:szCs w:val="21"/>
        </w:rPr>
        <w:t>是新加坡首屈一指的世界级顶尖大学，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在</w:t>
      </w:r>
      <w:r>
        <w:rPr>
          <w:rFonts w:hint="eastAsia" w:asciiTheme="minorHAnsi" w:hAnsiTheme="minorHAnsi" w:cstheme="minorHAnsi"/>
          <w:kern w:val="0"/>
          <w:szCs w:val="21"/>
        </w:rPr>
        <w:t>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QS亚洲大学排名第1位</w:t>
      </w:r>
      <w:r>
        <w:rPr>
          <w:rFonts w:hint="default" w:asciiTheme="minorHAnsi" w:hAnsiTheme="minorHAnsi" w:cstheme="minorHAnsi"/>
          <w:kern w:val="0"/>
          <w:szCs w:val="21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世</w:t>
      </w:r>
      <w:r>
        <w:rPr>
          <w:rFonts w:hint="eastAsia" w:asciiTheme="minorHAnsi" w:hAnsiTheme="minorHAnsi" w:cstheme="minorHAnsi"/>
          <w:kern w:val="0"/>
          <w:szCs w:val="21"/>
        </w:rPr>
        <w:t>界大学排名第</w:t>
      </w:r>
      <w:r>
        <w:rPr>
          <w:rFonts w:hint="default" w:asciiTheme="minorHAnsi" w:hAnsiTheme="minorHAnsi" w:cstheme="minorHAnsi"/>
          <w:kern w:val="0"/>
          <w:szCs w:val="21"/>
        </w:rPr>
        <w:t>8</w:t>
      </w:r>
      <w:r>
        <w:rPr>
          <w:rFonts w:hint="eastAsia" w:asciiTheme="minorHAnsi" w:hAnsiTheme="minorHAnsi" w:cstheme="minorHAnsi"/>
          <w:kern w:val="0"/>
          <w:szCs w:val="21"/>
        </w:rPr>
        <w:t>位</w:t>
      </w:r>
      <w:r>
        <w:rPr>
          <w:rFonts w:hint="default" w:asciiTheme="minorHAnsi" w:hAnsiTheme="minorHAnsi" w:cstheme="minorHAnsi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eastAsiaTheme="majorEastAsia" w:cstheme="minorHAnsi"/>
          <w:b/>
          <w:bCs/>
          <w:kern w:val="0"/>
          <w:szCs w:val="21"/>
          <w:highlight w:val="lightGray"/>
        </w:rPr>
      </w:pPr>
      <w:r>
        <w:rPr>
          <w:rFonts w:hint="eastAsia" w:asciiTheme="minorHAnsi" w:hAnsiTheme="minorHAnsi" w:cstheme="minorHAnsi"/>
          <w:kern w:val="0"/>
          <w:szCs w:val="21"/>
          <w:lang w:eastAsia="zh-Hans"/>
        </w:rPr>
        <w:t>“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商业与金融</w:t>
      </w:r>
      <w:r>
        <w:rPr>
          <w:rFonts w:hint="eastAsia" w:asciiTheme="minorHAnsi" w:hAnsiTheme="minorHAnsi" w:cstheme="minorHAnsi"/>
          <w:kern w:val="0"/>
          <w:szCs w:val="21"/>
          <w:lang w:eastAsia="zh-Hans"/>
        </w:rPr>
        <w:t>”访学项目</w:t>
      </w:r>
      <w:r>
        <w:rPr>
          <w:rFonts w:hint="eastAsia" w:asciiTheme="minorHAnsi" w:hAnsiTheme="minorHAnsi" w:cstheme="minorHAnsi"/>
          <w:kern w:val="0"/>
          <w:szCs w:val="21"/>
        </w:rPr>
        <w:t>课程由</w:t>
      </w:r>
      <w:r>
        <w:rPr>
          <w:rFonts w:hint="eastAsia" w:ascii="Times New Roman" w:eastAsia="宋体"/>
          <w:lang w:val="en-US" w:eastAsia="zh-Hans"/>
        </w:rPr>
        <w:t>新加坡国立大学顶尖导师授课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，旨在帮助学生扩大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专业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领域知识，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深入体验世界一流大学的学术氛围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在提高专业知识的同时全面锻炼英语听说读写综合水平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收获国大官方项目证书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。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项目同时安排有丰富的文化参访活动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充分领略新加坡城市风光与文化社会环境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  <w:highlight w:val="lightGray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147955</wp:posOffset>
            </wp:positionV>
            <wp:extent cx="5756275" cy="2881630"/>
            <wp:effectExtent l="0" t="0" r="9525" b="13970"/>
            <wp:wrapSquare wrapText="bothSides"/>
            <wp:docPr id="1" name="图片 1" descr="C:\Users\20190311\Desktop\banner_utown.jpgbanner_u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0190311\Desktop\banner_utown.jpgbanner_utown"/>
                    <pic:cNvPicPr>
                      <a:picLocks noChangeAspect="1"/>
                    </pic:cNvPicPr>
                  </pic:nvPicPr>
                  <pic:blipFill>
                    <a:blip r:embed="rId5"/>
                    <a:srcRect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【体验顶级名校教育资源】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课程由新加坡国立大学的顶尖导师亲自授课，为国际学生提供优质的专业课程知识，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深入体验名校学术氛围</w:t>
      </w:r>
      <w:r>
        <w:rPr>
          <w:rFonts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【全英课堂】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通过全英课堂交流，不仅可以锻炼英语听说读写全方面能力，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更能提高学术场景下的英语运用能力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【名校项目证书/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优秀小组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证明】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顺利结课后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可获得新加坡国立大学主办学院开具的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官方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结业证书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与测评报告，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同时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Hans"/>
        </w:rPr>
        <w:t>在项目陈述报告中优胜的小组还可获得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优秀学员证明</w:t>
      </w:r>
      <w:r>
        <w:rPr>
          <w:rFonts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为个人简历添砖加瓦。</w:t>
      </w:r>
    </w:p>
    <w:p>
      <w:pPr>
        <w:pStyle w:val="18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三、新加坡国立大学简介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成立于1905年，是新加坡首屈一指的世界级顶尖大学，是环太平洋大学联盟、亚洲大学联盟、亚太国际教育协会、国际研究型大学联盟、Universitas 21、新工科教育国际联盟、国际应用科技开发协作网等高校联盟的成员，也通过AACSB和EQUIS认证。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新加坡国立大学位列202</w:t>
      </w:r>
      <w:r>
        <w:rPr>
          <w:rFonts w:hint="default" w:asciiTheme="minorHAnsi" w:hAnsiTheme="minorHAnsi" w:cstheme="minorHAnsi"/>
          <w:kern w:val="0"/>
          <w:szCs w:val="21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QS亚洲大学排名第1位；202</w:t>
      </w:r>
      <w:r>
        <w:rPr>
          <w:rFonts w:hint="default" w:asciiTheme="minorHAnsi" w:hAnsiTheme="minorHAnsi" w:cstheme="minorHAnsi"/>
          <w:kern w:val="0"/>
          <w:szCs w:val="21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QS世界大学排名第</w:t>
      </w:r>
      <w:r>
        <w:rPr>
          <w:rFonts w:hint="default" w:asciiTheme="minorHAnsi" w:hAnsiTheme="minorHAnsi" w:cstheme="minorHAnsi"/>
          <w:kern w:val="0"/>
          <w:szCs w:val="21"/>
        </w:rPr>
        <w:t>8</w:t>
      </w:r>
      <w:r>
        <w:rPr>
          <w:rFonts w:hint="eastAsia" w:asciiTheme="minorHAnsi" w:hAnsiTheme="minorHAnsi" w:cstheme="minorHAnsi"/>
          <w:kern w:val="0"/>
          <w:szCs w:val="21"/>
        </w:rPr>
        <w:t>位</w:t>
      </w:r>
      <w:r>
        <w:rPr>
          <w:rFonts w:hint="default" w:asciiTheme="minorHAnsi" w:hAnsiTheme="minorHAnsi" w:cstheme="minorHAnsi"/>
          <w:kern w:val="0"/>
          <w:szCs w:val="21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eastAsia="zh-Hans"/>
        </w:rPr>
        <w:t>新加坡国立大学进入世界前</w:t>
      </w:r>
      <w:r>
        <w:rPr>
          <w:rFonts w:asciiTheme="minorHAnsi" w:hAnsiTheme="minorHAnsi" w:eastAsiaTheme="majorEastAsia" w:cstheme="minorHAnsi"/>
          <w:kern w:val="0"/>
          <w:szCs w:val="21"/>
          <w:lang w:eastAsia="zh-Hans"/>
        </w:rPr>
        <w:t>10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Hans"/>
        </w:rPr>
        <w:t>的专业包括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艺术史（2）、土木与结构工程（3）、社会政策与行政（3）、化学工程</w:t>
      </w:r>
      <w:r>
        <w:rPr>
          <w:rFonts w:asciiTheme="minorHAnsi" w:hAnsiTheme="minorHAnsi" w:eastAsiaTheme="majorEastAsia" w:cstheme="minorHAnsi"/>
          <w:kern w:val="0"/>
          <w:szCs w:val="21"/>
          <w:lang w:eastAsia="zh-Hans"/>
        </w:rPr>
        <w:t>（4）、计算机科学与信息系统（4）、电气与电子工程（4）、地理学（6）、市场营销（6）、材料科学（6）、化学（7）、数据科学与人工智能（7）、商业与管理学（8）、语言学（8）、护理学（8）、药学与药理学（8）、建筑/建成环境（9）、数学（9）、机械、航空航天与制造工程（9）、环境科学（10）、法律（10）、政治与国际关系研究）、统计与运筹学（10）。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hint="default" w:cs="Calibri" w:asciiTheme="minorHAnsi" w:hAnsiTheme="minorHAnsi"/>
          <w:szCs w:val="21"/>
          <w:highlight w:val="none"/>
        </w:rPr>
      </w:pPr>
      <w:r>
        <w:rPr>
          <w:rFonts w:cs="Calibri" w:asciiTheme="minorHAnsi" w:hAnsiTheme="minorHAnsi"/>
          <w:szCs w:val="21"/>
          <w:highlight w:val="none"/>
        </w:rPr>
        <w:t>【</w:t>
      </w:r>
      <w:r>
        <w:rPr>
          <w:rFonts w:hint="eastAsia" w:cs="Calibri" w:asciiTheme="minorHAnsi" w:hAnsiTheme="minorHAnsi"/>
          <w:b/>
          <w:szCs w:val="21"/>
          <w:highlight w:val="none"/>
        </w:rPr>
        <w:t>课程日期</w:t>
      </w:r>
      <w:r>
        <w:rPr>
          <w:rFonts w:cs="Calibri" w:asciiTheme="minorHAnsi" w:hAnsiTheme="minorHAnsi"/>
          <w:szCs w:val="21"/>
          <w:highlight w:val="none"/>
        </w:rPr>
        <w:t>】</w:t>
      </w:r>
    </w:p>
    <w:p>
      <w:pPr>
        <w:spacing w:line="360" w:lineRule="auto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2026年1月24月-1月31日（暂定）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本课程旨在通过理论与实践相结合的方式，帮助参与者掌握财务管理的核心概念，并解决实际管理问题。具体目标如下：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建立坚实的金融概念基础，帮助参与者深刻理解财务管理的基本原理。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运用金融理论，解决财务管理者在日常工作中面临的实际问题。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在项目结束时，参与者将具备以下能力：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理解财务管理的目标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掌握货币时间价值的概念及其实际应用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熟悉多种评估技术的应用，如净现值、回收期和内部收益率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了解营运资金管理的关键要素，如运营周期和现金周期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</w:pPr>
      <w:r>
        <w:rPr>
          <w:rFonts w:hint="default" w:cs="Calibri" w:asciiTheme="minorHAnsi" w:hAnsiTheme="minorHAnsi"/>
          <w:szCs w:val="21"/>
        </w:rPr>
        <w:t>能够进行公司财务分析，运用财务比率及同行倍数进行评估</w:t>
      </w:r>
    </w:p>
    <w:p>
      <w:pPr>
        <w:spacing w:line="360" w:lineRule="auto"/>
        <w:ind w:left="0" w:leftChars="0" w:firstLine="420" w:firstLineChars="200"/>
        <w:rPr>
          <w:rFonts w:hint="default" w:cs="Calibri" w:asciiTheme="minorHAnsi" w:hAnsiTheme="minorHAnsi"/>
          <w:szCs w:val="21"/>
        </w:rPr>
      </w:pPr>
    </w:p>
    <w:p>
      <w:pPr>
        <w:spacing w:line="360" w:lineRule="auto"/>
        <w:ind w:left="0" w:leftChars="0" w:firstLine="0" w:firstLineChars="0"/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</w:pP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参考日程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（</w:t>
      </w: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仅供参考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，</w:t>
      </w: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以实际安排为准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6657"/>
      </w:tblGrid>
      <w:tr>
        <w:tc>
          <w:tcPr>
            <w:tcW w:w="18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周六</w:t>
            </w:r>
          </w:p>
        </w:tc>
        <w:tc>
          <w:tcPr>
            <w:tcW w:w="665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出发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抵达新加坡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接机送至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酒店，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电话卡地铁卡等常用物品介绍</w:t>
            </w:r>
          </w:p>
        </w:tc>
      </w:tr>
      <w:tr>
        <w:tc>
          <w:tcPr>
            <w:tcW w:w="18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周日</w:t>
            </w:r>
          </w:p>
        </w:tc>
        <w:tc>
          <w:tcPr>
            <w:tcW w:w="665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文化参访</w:t>
            </w:r>
          </w:p>
        </w:tc>
      </w:tr>
      <w:tr>
        <w:tc>
          <w:tcPr>
            <w:tcW w:w="1094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="Calibri" w:asciiTheme="minorHAnsi" w:hAnsiTheme="minorHAnsi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</w:t>
            </w: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3905" w:type="pct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开课迎新会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战略管理与金融数学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管理目标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货币的时间价值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有效利率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小组展示</w:t>
            </w:r>
          </w:p>
        </w:tc>
      </w:tr>
      <w:tr>
        <w:tc>
          <w:tcPr>
            <w:tcW w:w="1094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="Calibri" w:asciiTheme="minorHAnsi" w:hAnsiTheme="minorHAnsi"/>
                <w:szCs w:val="21"/>
                <w:vertAlign w:val="baseline"/>
                <w:lang w:eastAsia="zh-CN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</w:t>
            </w: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3905" w:type="pct"/>
          </w:tcPr>
          <w:p>
            <w:pPr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评估技术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回收期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净现值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内部收益率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折现现金流在股票和债券中的应用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小组展示</w:t>
            </w:r>
          </w:p>
        </w:tc>
      </w:tr>
      <w:tr>
        <w:tc>
          <w:tcPr>
            <w:tcW w:w="1094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="Calibri" w:asciiTheme="minorHAnsi" w:hAnsiTheme="minorHAnsi"/>
                <w:szCs w:val="21"/>
                <w:vertAlign w:val="baseline"/>
                <w:lang w:eastAsia="zh-CN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</w:t>
            </w: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3905" w:type="pct"/>
          </w:tcPr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相关现金流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增量现金流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沉没成本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机会成本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小组展示</w:t>
            </w:r>
          </w:p>
        </w:tc>
      </w:tr>
      <w:tr>
        <w:tc>
          <w:tcPr>
            <w:tcW w:w="1094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="Calibri" w:asciiTheme="minorHAnsi" w:hAnsiTheme="minorHAnsi"/>
                <w:szCs w:val="21"/>
                <w:vertAlign w:val="baseline"/>
                <w:lang w:eastAsia="zh-CN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</w:t>
            </w: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3905" w:type="pct"/>
          </w:tcPr>
          <w:p>
            <w:pPr>
              <w:numPr>
                <w:ilvl w:val="0"/>
                <w:numId w:val="10"/>
              </w:numPr>
              <w:tabs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营运资金管理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运营周期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现金周期</w:t>
            </w:r>
          </w:p>
          <w:p>
            <w:pPr>
              <w:numPr>
                <w:ilvl w:val="0"/>
                <w:numId w:val="11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小组展示</w:t>
            </w:r>
          </w:p>
        </w:tc>
      </w:tr>
      <w:tr>
        <w:tc>
          <w:tcPr>
            <w:tcW w:w="1094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="Calibri" w:asciiTheme="minorHAnsi" w:hAnsiTheme="minorHAnsi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</w:t>
            </w: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CN"/>
              </w:rPr>
              <w:t>五</w:t>
            </w:r>
          </w:p>
        </w:tc>
        <w:tc>
          <w:tcPr>
            <w:tcW w:w="3905" w:type="pct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公司财务分析</w:t>
            </w:r>
          </w:p>
          <w:p>
            <w:pPr>
              <w:numPr>
                <w:ilvl w:val="0"/>
                <w:numId w:val="12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同比报表</w:t>
            </w:r>
          </w:p>
          <w:p>
            <w:pPr>
              <w:numPr>
                <w:ilvl w:val="0"/>
                <w:numId w:val="12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财务比率</w:t>
            </w:r>
          </w:p>
          <w:p>
            <w:pPr>
              <w:numPr>
                <w:ilvl w:val="0"/>
                <w:numId w:val="12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同业倍数</w:t>
            </w:r>
          </w:p>
          <w:p>
            <w:pPr>
              <w:numPr>
                <w:ilvl w:val="0"/>
                <w:numId w:val="12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小组展示</w:t>
            </w:r>
          </w:p>
        </w:tc>
      </w:tr>
      <w:tr>
        <w:tc>
          <w:tcPr>
            <w:tcW w:w="1094" w:type="pct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宋体" w:cs="Calibri" w:asciiTheme="minorHAnsi" w:hAnsiTheme="minorHAnsi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</w:t>
            </w: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CN"/>
              </w:rPr>
              <w:t>六</w:t>
            </w:r>
          </w:p>
        </w:tc>
        <w:tc>
          <w:tcPr>
            <w:tcW w:w="3905" w:type="pct"/>
          </w:tcPr>
          <w:p>
            <w:pPr>
              <w:numPr>
                <w:ilvl w:val="0"/>
                <w:numId w:val="1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送往机场</w:t>
            </w:r>
            <w:r>
              <w:rPr>
                <w:rFonts w:hint="default" w:cs="Calibri" w:asciiTheme="minorHAnsi" w:hAnsiTheme="minorHAnsi"/>
                <w:szCs w:val="21"/>
                <w:lang w:eastAsia="zh-Hans"/>
              </w:rPr>
              <w:t>，</w:t>
            </w: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返回国内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【授课导师】</w:t>
      </w:r>
      <w:r>
        <w:rPr>
          <w:rFonts w:hint="eastAsia" w:cs="宋体"/>
          <w:b/>
          <w:bCs/>
          <w:sz w:val="21"/>
          <w:szCs w:val="21"/>
          <w:lang w:eastAsia="zh-CN"/>
        </w:rPr>
        <w:t>（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暂定，以学校实际安排为准</w:t>
      </w:r>
      <w:r>
        <w:rPr>
          <w:rFonts w:hint="eastAsia" w:cs="宋体"/>
          <w:b/>
          <w:bCs/>
          <w:sz w:val="21"/>
          <w:szCs w:val="21"/>
          <w:lang w:eastAsia="zh-CN"/>
        </w:rPr>
        <w:t>）</w:t>
      </w:r>
    </w:p>
    <w:p>
      <w:pPr>
        <w:pStyle w:val="8"/>
        <w:keepNext w:val="0"/>
        <w:keepLines w:val="0"/>
        <w:widowControl/>
        <w:suppressLineNumbers w:val="0"/>
        <w:spacing w:line="360" w:lineRule="auto"/>
        <w:ind w:left="0" w:right="0" w:rightChars="0" w:firstLine="0"/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eastAsia="zh-CN" w:bidi="ar-SA"/>
        </w:rPr>
        <w:drawing>
          <wp:inline distT="0" distB="0" distL="114300" distR="114300">
            <wp:extent cx="1339215" cy="1533525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pacing w:line="360" w:lineRule="auto"/>
        <w:ind w:left="0" w:right="0" w:rightChars="0" w:firstLine="0"/>
        <w:rPr>
          <w:rFonts w:hint="eastAsia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Ruth Tan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 xml:space="preserve"> 副教授</w:t>
      </w:r>
      <w:r>
        <w:rPr>
          <w:rFonts w:hint="eastAsia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新加坡国立大学金融系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eastAsia="zh-CN" w:bidi="ar-SA"/>
        </w:rPr>
        <w:t xml:space="preserve"> </w:t>
      </w:r>
      <w:r>
        <w:rPr>
          <w:rFonts w:hint="eastAsia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系副主任</w:t>
      </w:r>
    </w:p>
    <w:p>
      <w:pPr>
        <w:pStyle w:val="8"/>
        <w:keepNext w:val="0"/>
        <w:keepLines w:val="0"/>
        <w:widowControl/>
        <w:suppressLineNumbers w:val="0"/>
        <w:spacing w:line="360" w:lineRule="auto"/>
        <w:ind w:left="0" w:firstLine="420" w:firstLineChars="0"/>
        <w:rPr>
          <w:rFonts w:hint="default" w:cs="Calibri" w:asciiTheme="minorHAnsi" w:hAnsiTheme="minorHAnsi"/>
          <w:sz w:val="24"/>
          <w:szCs w:val="24"/>
          <w:highlight w:val="yellow"/>
        </w:rPr>
      </w:pPr>
      <w:r>
        <w:rPr>
          <w:rFonts w:hint="eastAsia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Ruth Tan博士是新加坡国立大学商学院的金融学副教授。她是新加坡注册会计师协会（ICPAS）的注册会计师（CPA），也是澳大利亚注册会计师协会的资深会员。她曾多次获得新加坡国立大学的教学卓越奖。目前，她是NUS教学学院的院士。她的案例研究被哈佛大学、麻省理工学院和哥伦比亚大学等顶尖大学广泛使用。她合著了多本书籍，包括2020年出版的《家庭金融》、2016年出版的《公司金融基础》以及2014年出版的《公司金融》。自2010年以来，她一直担任“企业50教育项目”的总监，该项目让学生与新加坡前50强中小企业合作。此外，她还曾在2017年和2018年担任SPRING卓越企业计划以及国家志愿者与慈善中心“好公司计划”的总监。她为多家企业（如宜家、森达美、三井、Kalbe、普利司通、Cerebos、NKSJ控股和AGC）提供了企业内部高管培训。她目前是“非财务经理的会计与财务”高管课程的联席主任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访学</w:t>
      </w:r>
      <w:r>
        <w:rPr>
          <w:rFonts w:hint="eastAsia" w:asciiTheme="minorHAnsi" w:hAnsiTheme="minorHAnsi" w:eastAsiaTheme="majorEastAsia" w:cstheme="minorHAnsi"/>
          <w:szCs w:val="21"/>
        </w:rPr>
        <w:t>项目的学生在考勤达标并完成所有课业要求后，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可获得新加坡国立大学主办学院开具的结业证书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和测评报告，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同时在</w:t>
      </w:r>
      <w:r>
        <w:rPr>
          <w:rFonts w:hint="eastAsia" w:asciiTheme="minorHAnsi" w:hAnsiTheme="minorHAnsi" w:eastAsiaTheme="majorEastAsia" w:cstheme="minorHAnsi"/>
          <w:szCs w:val="21"/>
        </w:rPr>
        <w:t>项目陈述报告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中</w:t>
      </w:r>
      <w:r>
        <w:rPr>
          <w:rFonts w:hint="eastAsia" w:asciiTheme="minorHAnsi" w:hAnsiTheme="minorHAnsi" w:eastAsiaTheme="majorEastAsia" w:cstheme="minorHAnsi"/>
          <w:szCs w:val="21"/>
        </w:rPr>
        <w:t>获胜的小组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成员还将额外获得</w:t>
      </w:r>
      <w:r>
        <w:rPr>
          <w:rFonts w:hint="eastAsia" w:asciiTheme="minorHAnsi" w:hAnsiTheme="minorHAnsi" w:eastAsiaTheme="majorEastAsia" w:cstheme="minorHAnsi"/>
          <w:szCs w:val="21"/>
        </w:rPr>
        <w:t>优秀学员证明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0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6782"/>
      </w:tblGrid>
      <w:tr>
        <w:trPr>
          <w:trHeight w:val="457" w:hRule="atLeast"/>
        </w:trPr>
        <w:tc>
          <w:tcPr>
            <w:tcW w:w="197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782" w:type="dxa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ajorEastAsia" w:cstheme="minorHAnsi"/>
                <w:szCs w:val="21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</w:rPr>
              <w:t>15800元/人（需至少30人成团）</w:t>
            </w:r>
          </w:p>
        </w:tc>
      </w:tr>
      <w:tr>
        <w:tc>
          <w:tcPr>
            <w:tcW w:w="197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</w:t>
            </w:r>
          </w:p>
        </w:tc>
        <w:tc>
          <w:tcPr>
            <w:tcW w:w="6782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课程学费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文化参访费用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eastAsia="zh-Hans"/>
              </w:rPr>
              <w:t>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证书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&amp;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eastAsia="zh-Hans"/>
              </w:rPr>
              <w:t>成绩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测评报告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海外保险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、海外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接送机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、大巴接上课、住宿</w:t>
            </w:r>
          </w:p>
        </w:tc>
      </w:tr>
      <w:tr>
        <w:tc>
          <w:tcPr>
            <w:tcW w:w="1977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费用不包括</w:t>
            </w:r>
          </w:p>
        </w:tc>
        <w:tc>
          <w:tcPr>
            <w:tcW w:w="6782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往返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机票、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餐食及其他个人消费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五、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8"/>
        <w:numPr>
          <w:ilvl w:val="0"/>
          <w:numId w:val="1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</w:rPr>
        <w:t>202</w:t>
      </w:r>
      <w:r>
        <w:rPr>
          <w:rFonts w:hint="eastAsia" w:ascii="Calibri" w:hAnsi="Calibri" w:cs="Calibri"/>
          <w:szCs w:val="21"/>
          <w:lang w:val="en-US" w:eastAsia="zh-CN"/>
        </w:rPr>
        <w:t>6寒假</w:t>
      </w:r>
      <w:r>
        <w:rPr>
          <w:rFonts w:hint="eastAsia" w:ascii="Calibri" w:hAnsi="Calibri" w:cs="Calibri"/>
          <w:szCs w:val="21"/>
        </w:rPr>
        <w:t>新加坡国立大学</w:t>
      </w:r>
      <w:r>
        <w:rPr>
          <w:rFonts w:hint="eastAsia" w:ascii="Calibri" w:hAnsi="Calibri" w:cs="Calibri"/>
          <w:szCs w:val="21"/>
          <w:lang w:eastAsia="zh-Hans"/>
        </w:rPr>
        <w:t>“</w:t>
      </w:r>
      <w:r>
        <w:rPr>
          <w:rFonts w:hint="eastAsia" w:ascii="Calibri" w:hAnsi="Calibri" w:cs="Calibri"/>
          <w:szCs w:val="21"/>
          <w:lang w:eastAsia="zh-CN"/>
        </w:rPr>
        <w:t>商业与金融</w:t>
      </w:r>
      <w:r>
        <w:rPr>
          <w:rFonts w:hint="eastAsia" w:ascii="Calibri" w:hAnsi="Calibri" w:cs="Calibri"/>
          <w:szCs w:val="21"/>
          <w:lang w:eastAsia="zh-Hans"/>
        </w:rPr>
        <w:t>”</w:t>
      </w:r>
      <w:r>
        <w:rPr>
          <w:rFonts w:hint="eastAsia" w:ascii="Calibri" w:hAnsi="Calibri" w:cs="Calibri"/>
          <w:szCs w:val="21"/>
        </w:rPr>
        <w:t>访学项目选拔名额为</w:t>
      </w:r>
      <w:r>
        <w:rPr>
          <w:rFonts w:ascii="Calibri" w:hAnsi="Calibri" w:cs="Calibri"/>
          <w:szCs w:val="21"/>
        </w:rPr>
        <w:t>4</w:t>
      </w:r>
      <w:r>
        <w:rPr>
          <w:rFonts w:hint="default" w:ascii="Calibri" w:hAnsi="Calibri" w:cs="Calibri"/>
          <w:szCs w:val="21"/>
        </w:rPr>
        <w:t>0</w:t>
      </w:r>
      <w:r>
        <w:rPr>
          <w:rFonts w:hint="eastAsia" w:ascii="Calibri" w:hAnsi="Calibri" w:cs="Calibri"/>
          <w:szCs w:val="21"/>
        </w:rPr>
        <w:t>名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cs="Calibri" w:asciiTheme="minorHAnsi" w:hAnsiTheme="minorHAnsi"/>
          <w:b w:val="0"/>
          <w:bCs w:val="0"/>
          <w:szCs w:val="21"/>
        </w:rPr>
      </w:pPr>
      <w:r>
        <w:rPr>
          <w:rFonts w:hint="default" w:asciiTheme="minorHAnsi" w:hAnsiTheme="minorHAnsi" w:eastAsiaTheme="majorEastAsia" w:cstheme="minorHAnsi"/>
          <w:b/>
          <w:kern w:val="0"/>
          <w:szCs w:val="21"/>
          <w:lang w:eastAsia="zh-Hans"/>
        </w:rPr>
        <w:t>项目报名</w:t>
      </w:r>
      <w:r>
        <w:rPr>
          <w:rFonts w:asciiTheme="minorHAnsi" w:hAnsiTheme="minorHAnsi" w:eastAsiaTheme="majorEastAsia" w:cstheme="minorHAnsi"/>
          <w:b/>
          <w:kern w:val="0"/>
          <w:szCs w:val="21"/>
        </w:rPr>
        <w:t>截止日期：</w:t>
      </w:r>
      <w:r>
        <w:rPr>
          <w:rFonts w:asciiTheme="minorHAnsi" w:hAnsiTheme="minorHAnsi" w:eastAsiaTheme="majorEastAsia" w:cstheme="minorHAnsi"/>
          <w:b w:val="0"/>
          <w:bCs w:val="0"/>
          <w:kern w:val="0"/>
          <w:szCs w:val="21"/>
        </w:rPr>
        <w:t>2025年</w:t>
      </w:r>
      <w:r>
        <w:rPr>
          <w:rFonts w:hint="eastAsia" w:asciiTheme="minorHAnsi" w:hAnsiTheme="minorHAnsi" w:eastAsiaTheme="majorEastAsia" w:cstheme="minorHAnsi"/>
          <w:b w:val="0"/>
          <w:bCs w:val="0"/>
          <w:kern w:val="0"/>
          <w:szCs w:val="21"/>
          <w:lang w:val="en-US" w:eastAsia="zh-CN"/>
        </w:rPr>
        <w:t>11</w:t>
      </w:r>
      <w:r>
        <w:rPr>
          <w:rFonts w:asciiTheme="minorHAnsi" w:hAnsiTheme="minorHAnsi" w:eastAsiaTheme="majorEastAsia" w:cstheme="minorHAnsi"/>
          <w:b w:val="0"/>
          <w:bCs w:val="0"/>
          <w:kern w:val="0"/>
          <w:szCs w:val="21"/>
        </w:rPr>
        <w:t>月30日</w:t>
      </w:r>
    </w:p>
    <w:p>
      <w:pPr>
        <w:pStyle w:val="18"/>
        <w:widowControl/>
        <w:numPr>
          <w:ilvl w:val="0"/>
          <w:numId w:val="1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8"/>
        <w:numPr>
          <w:ilvl w:val="0"/>
          <w:numId w:val="1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全日制本科生及</w:t>
      </w:r>
      <w:r>
        <w:rPr>
          <w:rFonts w:hint="default" w:asciiTheme="minorHAnsi" w:hAnsiTheme="minorHAnsi" w:eastAsiaTheme="majorEastAsia" w:cstheme="minorHAnsi"/>
          <w:szCs w:val="21"/>
        </w:rPr>
        <w:t>研究生，</w:t>
      </w:r>
      <w:r>
        <w:rPr>
          <w:rFonts w:hint="eastAsia" w:asciiTheme="minorHAnsi" w:hAnsiTheme="minorHAnsi" w:eastAsiaTheme="majorEastAsia" w:cstheme="minorHAnsi"/>
          <w:szCs w:val="21"/>
        </w:rPr>
        <w:t>成绩优异、道德品质好，在校期间未受过纪律处分，身心健康，能顺利完成学习任务；</w:t>
      </w:r>
    </w:p>
    <w:p>
      <w:pPr>
        <w:pStyle w:val="18"/>
        <w:numPr>
          <w:ilvl w:val="0"/>
          <w:numId w:val="1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</w:p>
    <w:p>
      <w:pPr>
        <w:pStyle w:val="18"/>
        <w:numPr>
          <w:ilvl w:val="0"/>
          <w:numId w:val="1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申请要求: 具有良好的读写与沟通能力，需通过英语四级或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项目方英文</w:t>
      </w:r>
      <w:r>
        <w:rPr>
          <w:rFonts w:hint="eastAsia" w:asciiTheme="minorHAnsi" w:hAnsiTheme="minorHAnsi" w:eastAsiaTheme="majorEastAsia" w:cstheme="minorHAnsi"/>
          <w:szCs w:val="21"/>
        </w:rPr>
        <w:t>面试；</w:t>
      </w:r>
    </w:p>
    <w:p>
      <w:pPr>
        <w:pStyle w:val="18"/>
        <w:numPr>
          <w:ilvl w:val="0"/>
          <w:numId w:val="1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家庭具有一定经济基础，能够提供访学所需学杂费；</w:t>
      </w:r>
    </w:p>
    <w:p>
      <w:pPr>
        <w:pStyle w:val="18"/>
        <w:spacing w:line="360" w:lineRule="auto"/>
        <w:ind w:firstLine="0" w:firstLineChars="0"/>
        <w:rPr>
          <w:rFonts w:cs="Calibri" w:asciiTheme="minorHAnsi" w:hAnsiTheme="minorHAnsi"/>
          <w:b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4、 项目申请录取方式和报名流程</w:t>
      </w:r>
    </w:p>
    <w:p>
      <w:pPr>
        <w:pStyle w:val="18"/>
        <w:numPr>
          <w:ilvl w:val="0"/>
          <w:numId w:val="16"/>
        </w:numPr>
        <w:spacing w:line="360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学生本人提出申请，在学校国际合作交流处（外事处）报名；</w:t>
      </w:r>
    </w:p>
    <w:p>
      <w:pPr>
        <w:pStyle w:val="19"/>
        <w:numPr>
          <w:ilvl w:val="0"/>
          <w:numId w:val="16"/>
        </w:numPr>
        <w:spacing w:line="360" w:lineRule="auto"/>
        <w:ind w:firstLineChars="0"/>
        <w:jc w:val="both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学生需通过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"https://kaoshi.wjx.top/vm/QApS3Gw.aspx#"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https://kaoshi.wjx.top/vm/QApS3Gw.aspx#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或扫描下方二维码填写《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202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"/>
        </w:rPr>
        <w:t>6冬春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世界名校访学项目报名表》，网上报名的时间决定录取的顺序；</w:t>
      </w:r>
    </w:p>
    <w:p>
      <w:pPr>
        <w:pStyle w:val="19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default"/>
        </w:rPr>
        <w:t xml:space="preserve">     </w:t>
      </w:r>
      <w:r>
        <w:drawing>
          <wp:inline distT="0" distB="0" distL="114300" distR="114300">
            <wp:extent cx="1170940" cy="1170940"/>
            <wp:effectExtent l="0" t="0" r="22860" b="228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16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学生申请资料经初步审核后，参加面试确定预录取名单；</w:t>
      </w:r>
    </w:p>
    <w:p>
      <w:pPr>
        <w:pStyle w:val="18"/>
        <w:numPr>
          <w:ilvl w:val="0"/>
          <w:numId w:val="16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项目咨询：</w:t>
      </w:r>
      <w:r>
        <w:rPr>
          <w:rFonts w:hint="default" w:ascii="宋体" w:hAnsi="宋体" w:eastAsia="宋体" w:cs="宋体"/>
          <w:kern w:val="0"/>
          <w:szCs w:val="21"/>
          <w:lang w:eastAsia="zh-CN"/>
        </w:rPr>
        <w:t>许老</w:t>
      </w:r>
      <w:bookmarkStart w:id="0" w:name="_GoBack"/>
      <w:bookmarkEnd w:id="0"/>
      <w:r>
        <w:rPr>
          <w:rFonts w:hint="default" w:ascii="宋体" w:hAnsi="宋体" w:eastAsia="宋体" w:cs="宋体"/>
          <w:kern w:val="0"/>
          <w:szCs w:val="21"/>
          <w:lang w:eastAsia="zh-CN"/>
        </w:rPr>
        <w:t>师19814720130（微信同号）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F5D7C"/>
    <w:multiLevelType w:val="singleLevel"/>
    <w:tmpl w:val="BA9F5D7C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B962C79"/>
    <w:multiLevelType w:val="multilevel"/>
    <w:tmpl w:val="BB962C7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BF9EBB16"/>
    <w:multiLevelType w:val="multilevel"/>
    <w:tmpl w:val="BF9EBB1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">
    <w:nsid w:val="DC3E53DA"/>
    <w:multiLevelType w:val="singleLevel"/>
    <w:tmpl w:val="DC3E53D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F3F3CD7E"/>
    <w:multiLevelType w:val="singleLevel"/>
    <w:tmpl w:val="F3F3CD7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6FBB980"/>
    <w:multiLevelType w:val="singleLevel"/>
    <w:tmpl w:val="F6FBB98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F8BC3FFD"/>
    <w:multiLevelType w:val="multilevel"/>
    <w:tmpl w:val="F8BC3FF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7">
    <w:nsid w:val="FB7E5755"/>
    <w:multiLevelType w:val="singleLevel"/>
    <w:tmpl w:val="FB7E5755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3EEDF7F5"/>
    <w:multiLevelType w:val="singleLevel"/>
    <w:tmpl w:val="3EEDF7F5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46834264"/>
    <w:multiLevelType w:val="multilevel"/>
    <w:tmpl w:val="468342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10">
    <w:nsid w:val="57F4A5FA"/>
    <w:multiLevelType w:val="singleLevel"/>
    <w:tmpl w:val="57F4A5F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607AAC83"/>
    <w:multiLevelType w:val="singleLevel"/>
    <w:tmpl w:val="607AAC8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6D50662A"/>
    <w:multiLevelType w:val="multilevel"/>
    <w:tmpl w:val="6D50662A"/>
    <w:lvl w:ilvl="0" w:tentative="0">
      <w:start w:val="1"/>
      <w:numFmt w:val="decimal"/>
      <w:lvlText w:val="%1)"/>
      <w:lvlJc w:val="left"/>
      <w:pPr>
        <w:ind w:left="630" w:hanging="4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DC33B7"/>
    <w:multiLevelType w:val="singleLevel"/>
    <w:tmpl w:val="7FDC33B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1149"/>
    <w:rsid w:val="000035D7"/>
    <w:rsid w:val="00010F31"/>
    <w:rsid w:val="00013BA1"/>
    <w:rsid w:val="00014035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87E"/>
    <w:rsid w:val="000519A2"/>
    <w:rsid w:val="0005389A"/>
    <w:rsid w:val="00055729"/>
    <w:rsid w:val="0006181E"/>
    <w:rsid w:val="00065242"/>
    <w:rsid w:val="000675A7"/>
    <w:rsid w:val="000820F9"/>
    <w:rsid w:val="0009206E"/>
    <w:rsid w:val="000954F4"/>
    <w:rsid w:val="000A0A86"/>
    <w:rsid w:val="000A248D"/>
    <w:rsid w:val="000A2A22"/>
    <w:rsid w:val="000A4030"/>
    <w:rsid w:val="000A5251"/>
    <w:rsid w:val="000B1A29"/>
    <w:rsid w:val="000C2F7C"/>
    <w:rsid w:val="000C2FF5"/>
    <w:rsid w:val="000C3F5B"/>
    <w:rsid w:val="000C4E56"/>
    <w:rsid w:val="000C5C18"/>
    <w:rsid w:val="000C7F9A"/>
    <w:rsid w:val="000D2EEA"/>
    <w:rsid w:val="000E1209"/>
    <w:rsid w:val="000E18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37D6E"/>
    <w:rsid w:val="00143E74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869B8"/>
    <w:rsid w:val="00192C0F"/>
    <w:rsid w:val="00196CB5"/>
    <w:rsid w:val="001A0C7A"/>
    <w:rsid w:val="001A281F"/>
    <w:rsid w:val="001A4E99"/>
    <w:rsid w:val="001A7D56"/>
    <w:rsid w:val="001B1369"/>
    <w:rsid w:val="001B1730"/>
    <w:rsid w:val="001B49B3"/>
    <w:rsid w:val="001C1A51"/>
    <w:rsid w:val="001C3481"/>
    <w:rsid w:val="001C6985"/>
    <w:rsid w:val="001D4042"/>
    <w:rsid w:val="001D4EF4"/>
    <w:rsid w:val="001E31D7"/>
    <w:rsid w:val="001E5D98"/>
    <w:rsid w:val="001E7571"/>
    <w:rsid w:val="001F00DB"/>
    <w:rsid w:val="001F5524"/>
    <w:rsid w:val="00202030"/>
    <w:rsid w:val="00203BFF"/>
    <w:rsid w:val="002133F2"/>
    <w:rsid w:val="0021711E"/>
    <w:rsid w:val="00220E2D"/>
    <w:rsid w:val="0022214B"/>
    <w:rsid w:val="0022260C"/>
    <w:rsid w:val="002274D9"/>
    <w:rsid w:val="00231B5A"/>
    <w:rsid w:val="00242260"/>
    <w:rsid w:val="002441C6"/>
    <w:rsid w:val="002449A1"/>
    <w:rsid w:val="00251642"/>
    <w:rsid w:val="00254885"/>
    <w:rsid w:val="00255140"/>
    <w:rsid w:val="00261406"/>
    <w:rsid w:val="00261C11"/>
    <w:rsid w:val="00271BCB"/>
    <w:rsid w:val="00275270"/>
    <w:rsid w:val="0028056A"/>
    <w:rsid w:val="002806E5"/>
    <w:rsid w:val="002852EE"/>
    <w:rsid w:val="0029179F"/>
    <w:rsid w:val="00292326"/>
    <w:rsid w:val="00295361"/>
    <w:rsid w:val="00296348"/>
    <w:rsid w:val="00297E1A"/>
    <w:rsid w:val="002A1734"/>
    <w:rsid w:val="002A402F"/>
    <w:rsid w:val="002B61DD"/>
    <w:rsid w:val="002B7076"/>
    <w:rsid w:val="002C2028"/>
    <w:rsid w:val="002C229B"/>
    <w:rsid w:val="002C27D4"/>
    <w:rsid w:val="002C571A"/>
    <w:rsid w:val="002C6AEB"/>
    <w:rsid w:val="002C722D"/>
    <w:rsid w:val="002D04D0"/>
    <w:rsid w:val="002D76B2"/>
    <w:rsid w:val="002E0E9B"/>
    <w:rsid w:val="002E1476"/>
    <w:rsid w:val="002E3299"/>
    <w:rsid w:val="002E4985"/>
    <w:rsid w:val="002E64CC"/>
    <w:rsid w:val="002F1A53"/>
    <w:rsid w:val="002F314E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34538"/>
    <w:rsid w:val="003354A1"/>
    <w:rsid w:val="003423E0"/>
    <w:rsid w:val="00342D9D"/>
    <w:rsid w:val="00342E7E"/>
    <w:rsid w:val="00361E48"/>
    <w:rsid w:val="003643BE"/>
    <w:rsid w:val="0037277F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A2D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4EDA"/>
    <w:rsid w:val="003F50D1"/>
    <w:rsid w:val="003F5F88"/>
    <w:rsid w:val="003F73EF"/>
    <w:rsid w:val="00404963"/>
    <w:rsid w:val="0041273F"/>
    <w:rsid w:val="0042039B"/>
    <w:rsid w:val="00426325"/>
    <w:rsid w:val="00430381"/>
    <w:rsid w:val="00437101"/>
    <w:rsid w:val="00437A33"/>
    <w:rsid w:val="00437B77"/>
    <w:rsid w:val="004421B1"/>
    <w:rsid w:val="00442AE1"/>
    <w:rsid w:val="004469A3"/>
    <w:rsid w:val="004472FC"/>
    <w:rsid w:val="0045270B"/>
    <w:rsid w:val="00454C45"/>
    <w:rsid w:val="004624BE"/>
    <w:rsid w:val="00465A92"/>
    <w:rsid w:val="004674CE"/>
    <w:rsid w:val="004679CE"/>
    <w:rsid w:val="00470270"/>
    <w:rsid w:val="00471CBF"/>
    <w:rsid w:val="00481273"/>
    <w:rsid w:val="00485AD1"/>
    <w:rsid w:val="004932B6"/>
    <w:rsid w:val="004946E0"/>
    <w:rsid w:val="00495E6D"/>
    <w:rsid w:val="004A1602"/>
    <w:rsid w:val="004A51A8"/>
    <w:rsid w:val="004B3073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14F4"/>
    <w:rsid w:val="004E728E"/>
    <w:rsid w:val="004F0AAB"/>
    <w:rsid w:val="004F743F"/>
    <w:rsid w:val="004F7C1B"/>
    <w:rsid w:val="00500A8F"/>
    <w:rsid w:val="00504529"/>
    <w:rsid w:val="005060F9"/>
    <w:rsid w:val="0051059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3C15"/>
    <w:rsid w:val="0057494B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43F0"/>
    <w:rsid w:val="005C7CC0"/>
    <w:rsid w:val="005D0683"/>
    <w:rsid w:val="005E5A41"/>
    <w:rsid w:val="005E674A"/>
    <w:rsid w:val="005E6E17"/>
    <w:rsid w:val="005F6112"/>
    <w:rsid w:val="00606AA2"/>
    <w:rsid w:val="00606C4F"/>
    <w:rsid w:val="00615CF7"/>
    <w:rsid w:val="00617A76"/>
    <w:rsid w:val="00621ED0"/>
    <w:rsid w:val="00622238"/>
    <w:rsid w:val="00624494"/>
    <w:rsid w:val="00624BB2"/>
    <w:rsid w:val="00632329"/>
    <w:rsid w:val="00637AD1"/>
    <w:rsid w:val="006421C2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439F"/>
    <w:rsid w:val="006A6A07"/>
    <w:rsid w:val="006A72B8"/>
    <w:rsid w:val="006B1E37"/>
    <w:rsid w:val="006C2070"/>
    <w:rsid w:val="006D5B15"/>
    <w:rsid w:val="006D642C"/>
    <w:rsid w:val="006F6895"/>
    <w:rsid w:val="00700EA9"/>
    <w:rsid w:val="0070255A"/>
    <w:rsid w:val="00705BEF"/>
    <w:rsid w:val="00706179"/>
    <w:rsid w:val="007113DD"/>
    <w:rsid w:val="00713EF9"/>
    <w:rsid w:val="0071430B"/>
    <w:rsid w:val="00720659"/>
    <w:rsid w:val="0072201D"/>
    <w:rsid w:val="007243E9"/>
    <w:rsid w:val="00730B61"/>
    <w:rsid w:val="00733292"/>
    <w:rsid w:val="007423FD"/>
    <w:rsid w:val="0076199E"/>
    <w:rsid w:val="007619AD"/>
    <w:rsid w:val="00762330"/>
    <w:rsid w:val="007640E0"/>
    <w:rsid w:val="007652B1"/>
    <w:rsid w:val="0076777F"/>
    <w:rsid w:val="00770616"/>
    <w:rsid w:val="00772E22"/>
    <w:rsid w:val="00775505"/>
    <w:rsid w:val="00776AE1"/>
    <w:rsid w:val="0078010F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B8F"/>
    <w:rsid w:val="007E0C8A"/>
    <w:rsid w:val="007E156F"/>
    <w:rsid w:val="007E2ACE"/>
    <w:rsid w:val="007E3816"/>
    <w:rsid w:val="007F262A"/>
    <w:rsid w:val="007F5700"/>
    <w:rsid w:val="00802548"/>
    <w:rsid w:val="00802957"/>
    <w:rsid w:val="008122CA"/>
    <w:rsid w:val="00814AA6"/>
    <w:rsid w:val="00823ADD"/>
    <w:rsid w:val="008267EE"/>
    <w:rsid w:val="0083050D"/>
    <w:rsid w:val="00832E9B"/>
    <w:rsid w:val="0083786A"/>
    <w:rsid w:val="00840178"/>
    <w:rsid w:val="0084297C"/>
    <w:rsid w:val="008432ED"/>
    <w:rsid w:val="00843F7D"/>
    <w:rsid w:val="008450F3"/>
    <w:rsid w:val="0086227D"/>
    <w:rsid w:val="00863FEE"/>
    <w:rsid w:val="008653E0"/>
    <w:rsid w:val="00865CF9"/>
    <w:rsid w:val="00866C18"/>
    <w:rsid w:val="00867B69"/>
    <w:rsid w:val="0088500C"/>
    <w:rsid w:val="0089014A"/>
    <w:rsid w:val="008902CF"/>
    <w:rsid w:val="008966E9"/>
    <w:rsid w:val="008A252D"/>
    <w:rsid w:val="008B4A3B"/>
    <w:rsid w:val="008B56E5"/>
    <w:rsid w:val="008C1F77"/>
    <w:rsid w:val="008C53F5"/>
    <w:rsid w:val="008D3CFE"/>
    <w:rsid w:val="008D5E6C"/>
    <w:rsid w:val="008D7F16"/>
    <w:rsid w:val="008E1E1E"/>
    <w:rsid w:val="008E4534"/>
    <w:rsid w:val="008E54DB"/>
    <w:rsid w:val="008F1045"/>
    <w:rsid w:val="008F171A"/>
    <w:rsid w:val="008F7734"/>
    <w:rsid w:val="009018E4"/>
    <w:rsid w:val="00903BED"/>
    <w:rsid w:val="00905613"/>
    <w:rsid w:val="00905BF1"/>
    <w:rsid w:val="00910970"/>
    <w:rsid w:val="00913572"/>
    <w:rsid w:val="009171E7"/>
    <w:rsid w:val="00917A3B"/>
    <w:rsid w:val="0092087F"/>
    <w:rsid w:val="0092377F"/>
    <w:rsid w:val="00924BF1"/>
    <w:rsid w:val="00930DF7"/>
    <w:rsid w:val="00936821"/>
    <w:rsid w:val="0094276A"/>
    <w:rsid w:val="00942C75"/>
    <w:rsid w:val="009466E4"/>
    <w:rsid w:val="0095092B"/>
    <w:rsid w:val="00951195"/>
    <w:rsid w:val="00952045"/>
    <w:rsid w:val="00952BA5"/>
    <w:rsid w:val="009554FB"/>
    <w:rsid w:val="00957EEC"/>
    <w:rsid w:val="009609B5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0647"/>
    <w:rsid w:val="0099101F"/>
    <w:rsid w:val="009959F3"/>
    <w:rsid w:val="00996091"/>
    <w:rsid w:val="009A11C1"/>
    <w:rsid w:val="009A16FA"/>
    <w:rsid w:val="009A1CFD"/>
    <w:rsid w:val="009A27F7"/>
    <w:rsid w:val="009A292D"/>
    <w:rsid w:val="009A4CAF"/>
    <w:rsid w:val="009A69B5"/>
    <w:rsid w:val="009A6B36"/>
    <w:rsid w:val="009B0D73"/>
    <w:rsid w:val="009B1848"/>
    <w:rsid w:val="009B3167"/>
    <w:rsid w:val="009B682A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09B6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A4FDD"/>
    <w:rsid w:val="00AB05C6"/>
    <w:rsid w:val="00AB66D7"/>
    <w:rsid w:val="00AC266D"/>
    <w:rsid w:val="00AC32C6"/>
    <w:rsid w:val="00AC36F0"/>
    <w:rsid w:val="00AD7BA1"/>
    <w:rsid w:val="00AE7DD0"/>
    <w:rsid w:val="00AF5247"/>
    <w:rsid w:val="00AF78C6"/>
    <w:rsid w:val="00AF7CB4"/>
    <w:rsid w:val="00B00961"/>
    <w:rsid w:val="00B06E66"/>
    <w:rsid w:val="00B12237"/>
    <w:rsid w:val="00B12438"/>
    <w:rsid w:val="00B12F3C"/>
    <w:rsid w:val="00B24FF7"/>
    <w:rsid w:val="00B2543C"/>
    <w:rsid w:val="00B26192"/>
    <w:rsid w:val="00B27AAC"/>
    <w:rsid w:val="00B40A47"/>
    <w:rsid w:val="00B40A66"/>
    <w:rsid w:val="00B50CF4"/>
    <w:rsid w:val="00B57B39"/>
    <w:rsid w:val="00B6632A"/>
    <w:rsid w:val="00B67C18"/>
    <w:rsid w:val="00B74F9C"/>
    <w:rsid w:val="00B76725"/>
    <w:rsid w:val="00B801E0"/>
    <w:rsid w:val="00B83422"/>
    <w:rsid w:val="00B841C1"/>
    <w:rsid w:val="00B8765A"/>
    <w:rsid w:val="00B955B3"/>
    <w:rsid w:val="00BA15F6"/>
    <w:rsid w:val="00BA32D8"/>
    <w:rsid w:val="00BA4420"/>
    <w:rsid w:val="00BB03D0"/>
    <w:rsid w:val="00BB11A8"/>
    <w:rsid w:val="00BB2026"/>
    <w:rsid w:val="00BC3B43"/>
    <w:rsid w:val="00BC5535"/>
    <w:rsid w:val="00BC7E20"/>
    <w:rsid w:val="00BD670A"/>
    <w:rsid w:val="00BE02A7"/>
    <w:rsid w:val="00BE2788"/>
    <w:rsid w:val="00BE6F4C"/>
    <w:rsid w:val="00BE7E70"/>
    <w:rsid w:val="00BF460C"/>
    <w:rsid w:val="00BF5F9C"/>
    <w:rsid w:val="00C02F99"/>
    <w:rsid w:val="00C03778"/>
    <w:rsid w:val="00C05D8E"/>
    <w:rsid w:val="00C06B20"/>
    <w:rsid w:val="00C06CBE"/>
    <w:rsid w:val="00C07791"/>
    <w:rsid w:val="00C11863"/>
    <w:rsid w:val="00C123C3"/>
    <w:rsid w:val="00C126DF"/>
    <w:rsid w:val="00C15DBB"/>
    <w:rsid w:val="00C22071"/>
    <w:rsid w:val="00C25B78"/>
    <w:rsid w:val="00C2641C"/>
    <w:rsid w:val="00C444EA"/>
    <w:rsid w:val="00C453CE"/>
    <w:rsid w:val="00C50DF8"/>
    <w:rsid w:val="00C5114A"/>
    <w:rsid w:val="00C55BB5"/>
    <w:rsid w:val="00C56242"/>
    <w:rsid w:val="00C642A4"/>
    <w:rsid w:val="00C64953"/>
    <w:rsid w:val="00C65992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1D86"/>
    <w:rsid w:val="00CA222B"/>
    <w:rsid w:val="00CA2A8B"/>
    <w:rsid w:val="00CA65E9"/>
    <w:rsid w:val="00CB0018"/>
    <w:rsid w:val="00CB4339"/>
    <w:rsid w:val="00CB6A55"/>
    <w:rsid w:val="00CC06D4"/>
    <w:rsid w:val="00CC1890"/>
    <w:rsid w:val="00CC480B"/>
    <w:rsid w:val="00CC530F"/>
    <w:rsid w:val="00CC6F76"/>
    <w:rsid w:val="00CC72C5"/>
    <w:rsid w:val="00CC7310"/>
    <w:rsid w:val="00CD332E"/>
    <w:rsid w:val="00CD41C2"/>
    <w:rsid w:val="00CD4E6A"/>
    <w:rsid w:val="00CD5A34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1BE3"/>
    <w:rsid w:val="00D332D6"/>
    <w:rsid w:val="00D346FC"/>
    <w:rsid w:val="00D35444"/>
    <w:rsid w:val="00D3691D"/>
    <w:rsid w:val="00D371C4"/>
    <w:rsid w:val="00D44063"/>
    <w:rsid w:val="00D44541"/>
    <w:rsid w:val="00D50E81"/>
    <w:rsid w:val="00D51649"/>
    <w:rsid w:val="00D634D8"/>
    <w:rsid w:val="00D63C2D"/>
    <w:rsid w:val="00D651FF"/>
    <w:rsid w:val="00D71185"/>
    <w:rsid w:val="00D71DEB"/>
    <w:rsid w:val="00D73882"/>
    <w:rsid w:val="00D80609"/>
    <w:rsid w:val="00D82BB6"/>
    <w:rsid w:val="00DA08E9"/>
    <w:rsid w:val="00DA100A"/>
    <w:rsid w:val="00DA19D1"/>
    <w:rsid w:val="00DA25AD"/>
    <w:rsid w:val="00DA73E5"/>
    <w:rsid w:val="00DB0090"/>
    <w:rsid w:val="00DB1679"/>
    <w:rsid w:val="00DB335D"/>
    <w:rsid w:val="00DB462A"/>
    <w:rsid w:val="00DC2F1C"/>
    <w:rsid w:val="00DC2F84"/>
    <w:rsid w:val="00DC4BA2"/>
    <w:rsid w:val="00DC57F3"/>
    <w:rsid w:val="00DD4C8D"/>
    <w:rsid w:val="00DD60F4"/>
    <w:rsid w:val="00DD7FB4"/>
    <w:rsid w:val="00DE3A6C"/>
    <w:rsid w:val="00DE78E8"/>
    <w:rsid w:val="00DE7BD3"/>
    <w:rsid w:val="00DF1C7E"/>
    <w:rsid w:val="00DF4AB0"/>
    <w:rsid w:val="00DF66EE"/>
    <w:rsid w:val="00E00371"/>
    <w:rsid w:val="00E07A31"/>
    <w:rsid w:val="00E1522D"/>
    <w:rsid w:val="00E17346"/>
    <w:rsid w:val="00E23047"/>
    <w:rsid w:val="00E23270"/>
    <w:rsid w:val="00E238A4"/>
    <w:rsid w:val="00E309FD"/>
    <w:rsid w:val="00E403D4"/>
    <w:rsid w:val="00E41AAF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62EF"/>
    <w:rsid w:val="00F17267"/>
    <w:rsid w:val="00F23387"/>
    <w:rsid w:val="00F27587"/>
    <w:rsid w:val="00F307F9"/>
    <w:rsid w:val="00F3131F"/>
    <w:rsid w:val="00F32538"/>
    <w:rsid w:val="00F34A00"/>
    <w:rsid w:val="00F34D93"/>
    <w:rsid w:val="00F50728"/>
    <w:rsid w:val="00F62AEB"/>
    <w:rsid w:val="00F66A6D"/>
    <w:rsid w:val="00F72010"/>
    <w:rsid w:val="00F76428"/>
    <w:rsid w:val="00F77798"/>
    <w:rsid w:val="00F778F0"/>
    <w:rsid w:val="00F77B4D"/>
    <w:rsid w:val="00F820F7"/>
    <w:rsid w:val="00F832EB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D55B2"/>
    <w:rsid w:val="00FE2B9E"/>
    <w:rsid w:val="00FE6555"/>
    <w:rsid w:val="00FE6AA0"/>
    <w:rsid w:val="00FF13BC"/>
    <w:rsid w:val="00FF51E1"/>
    <w:rsid w:val="01BE4759"/>
    <w:rsid w:val="0B6673D2"/>
    <w:rsid w:val="0C92128D"/>
    <w:rsid w:val="0FAF76A8"/>
    <w:rsid w:val="117E90B9"/>
    <w:rsid w:val="1542235D"/>
    <w:rsid w:val="15B962AA"/>
    <w:rsid w:val="199054D3"/>
    <w:rsid w:val="1AFC175B"/>
    <w:rsid w:val="1B3DF9E9"/>
    <w:rsid w:val="1B9C12A0"/>
    <w:rsid w:val="278B188D"/>
    <w:rsid w:val="29BE613E"/>
    <w:rsid w:val="2B9056E6"/>
    <w:rsid w:val="2BDFB16F"/>
    <w:rsid w:val="2F6F79B0"/>
    <w:rsid w:val="32F469A7"/>
    <w:rsid w:val="3697705D"/>
    <w:rsid w:val="370C2528"/>
    <w:rsid w:val="37F5E4E4"/>
    <w:rsid w:val="39EB70AC"/>
    <w:rsid w:val="39FE87AB"/>
    <w:rsid w:val="3FD38EE0"/>
    <w:rsid w:val="3FFD95EB"/>
    <w:rsid w:val="3FFF7F56"/>
    <w:rsid w:val="42B7BBC4"/>
    <w:rsid w:val="43EB6FBE"/>
    <w:rsid w:val="4663199C"/>
    <w:rsid w:val="4BB490D0"/>
    <w:rsid w:val="4CF7E6E5"/>
    <w:rsid w:val="4EEEF519"/>
    <w:rsid w:val="4FA41450"/>
    <w:rsid w:val="5052076A"/>
    <w:rsid w:val="51C30BE7"/>
    <w:rsid w:val="52BC7266"/>
    <w:rsid w:val="54420BCB"/>
    <w:rsid w:val="57BD0C26"/>
    <w:rsid w:val="57BFFD08"/>
    <w:rsid w:val="5A913141"/>
    <w:rsid w:val="5B7A6476"/>
    <w:rsid w:val="5BFE8697"/>
    <w:rsid w:val="5CFBA6CD"/>
    <w:rsid w:val="5F3FBA18"/>
    <w:rsid w:val="5F5D6471"/>
    <w:rsid w:val="5FE64516"/>
    <w:rsid w:val="5FFB70F7"/>
    <w:rsid w:val="63BFD1DC"/>
    <w:rsid w:val="6DC74436"/>
    <w:rsid w:val="6E2FF307"/>
    <w:rsid w:val="6E7F3F04"/>
    <w:rsid w:val="6EEEEA45"/>
    <w:rsid w:val="6F7D3574"/>
    <w:rsid w:val="6F93A2EB"/>
    <w:rsid w:val="6FF361E2"/>
    <w:rsid w:val="70FFACBA"/>
    <w:rsid w:val="716FD36D"/>
    <w:rsid w:val="757DC129"/>
    <w:rsid w:val="75BBA18A"/>
    <w:rsid w:val="75DFCFCB"/>
    <w:rsid w:val="76E71A1A"/>
    <w:rsid w:val="77DBBE44"/>
    <w:rsid w:val="77DF8771"/>
    <w:rsid w:val="78FEE48F"/>
    <w:rsid w:val="7D57B136"/>
    <w:rsid w:val="7EB37ED3"/>
    <w:rsid w:val="7ECD53C1"/>
    <w:rsid w:val="7EDD1A67"/>
    <w:rsid w:val="7F124915"/>
    <w:rsid w:val="7F8BC2F5"/>
    <w:rsid w:val="7F9F4147"/>
    <w:rsid w:val="7FD8E875"/>
    <w:rsid w:val="7FE7C69C"/>
    <w:rsid w:val="7FF7DDC0"/>
    <w:rsid w:val="7FFDAF19"/>
    <w:rsid w:val="8F9EFEBA"/>
    <w:rsid w:val="9EB6103B"/>
    <w:rsid w:val="9EEF6FA8"/>
    <w:rsid w:val="9FFFDCCA"/>
    <w:rsid w:val="A2BF9867"/>
    <w:rsid w:val="ACA6FB7C"/>
    <w:rsid w:val="AF7D8B26"/>
    <w:rsid w:val="B3F78B4A"/>
    <w:rsid w:val="B3FB2626"/>
    <w:rsid w:val="B9EF10E2"/>
    <w:rsid w:val="BBBDFB4A"/>
    <w:rsid w:val="BDDFC2BB"/>
    <w:rsid w:val="BEFCD0FA"/>
    <w:rsid w:val="BFAB9766"/>
    <w:rsid w:val="CFFFCA2E"/>
    <w:rsid w:val="D4BFCBAC"/>
    <w:rsid w:val="D7EB71CF"/>
    <w:rsid w:val="D7FA54D3"/>
    <w:rsid w:val="D8FBA931"/>
    <w:rsid w:val="DD7DF9EA"/>
    <w:rsid w:val="DEE3A79F"/>
    <w:rsid w:val="DEFFF17D"/>
    <w:rsid w:val="DFBD6D25"/>
    <w:rsid w:val="E7E737C9"/>
    <w:rsid w:val="E7F360FD"/>
    <w:rsid w:val="E7FB8EF2"/>
    <w:rsid w:val="EBBA7CFD"/>
    <w:rsid w:val="EBEB044F"/>
    <w:rsid w:val="EDEDF0B7"/>
    <w:rsid w:val="EDF6291C"/>
    <w:rsid w:val="EEDED1DF"/>
    <w:rsid w:val="EEEF4280"/>
    <w:rsid w:val="EFFA3853"/>
    <w:rsid w:val="EFFBD850"/>
    <w:rsid w:val="EFFE5494"/>
    <w:rsid w:val="EFFF7BE4"/>
    <w:rsid w:val="F2727F3A"/>
    <w:rsid w:val="F6BD555C"/>
    <w:rsid w:val="F7CD9B09"/>
    <w:rsid w:val="F7DF80C0"/>
    <w:rsid w:val="F7EF3E05"/>
    <w:rsid w:val="F7EFC06F"/>
    <w:rsid w:val="F87F1043"/>
    <w:rsid w:val="F9CFC945"/>
    <w:rsid w:val="FA3E7073"/>
    <w:rsid w:val="FAFF5058"/>
    <w:rsid w:val="FBDFAB0F"/>
    <w:rsid w:val="FBED47B4"/>
    <w:rsid w:val="FBFF638D"/>
    <w:rsid w:val="FCFF7186"/>
    <w:rsid w:val="FDEBCFA2"/>
    <w:rsid w:val="FDEE4908"/>
    <w:rsid w:val="FEBAAC79"/>
    <w:rsid w:val="FF636AB4"/>
    <w:rsid w:val="FFB9D61C"/>
    <w:rsid w:val="FFBF9FCB"/>
    <w:rsid w:val="FFE67365"/>
    <w:rsid w:val="FFFB27C0"/>
    <w:rsid w:val="FFFEF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customStyle="1" w:styleId="15">
    <w:name w:val="141"/>
    <w:qFormat/>
    <w:uiPriority w:val="0"/>
    <w:rPr>
      <w:sz w:val="21"/>
      <w:szCs w:val="21"/>
    </w:rPr>
  </w:style>
  <w:style w:type="character" w:customStyle="1" w:styleId="16">
    <w:name w:val="ztag pre"/>
    <w:basedOn w:val="11"/>
    <w:qFormat/>
    <w:uiPriority w:val="0"/>
  </w:style>
  <w:style w:type="character" w:customStyle="1" w:styleId="17">
    <w:name w:val="已访问的超链接1"/>
    <w:qFormat/>
    <w:uiPriority w:val="0"/>
    <w:rPr>
      <w:color w:val="800080"/>
      <w:u w:val="single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2112</Words>
  <Characters>2297</Characters>
  <Lines>18</Lines>
  <Paragraphs>5</Paragraphs>
  <TotalTime>0</TotalTime>
  <ScaleCrop>false</ScaleCrop>
  <LinksUpToDate>false</LinksUpToDate>
  <CharactersWithSpaces>2334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2021-06-06T18:15:00Z</dcterms:created>
  <dc:creator>全美国际教育协会</dc:creator>
  <cp:lastModifiedBy>谭谭</cp:lastModifiedBy>
  <cp:lastPrinted>2012-01-05T08:54:00Z</cp:lastPrinted>
  <dcterms:modified xsi:type="dcterms:W3CDTF">2025-09-10T17:11:58Z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BEA438E24C46DEF8F980096458825C43</vt:lpwstr>
  </property>
  <property fmtid="{D5CDD505-2E9C-101B-9397-08002B2CF9AE}" pid="4" name="KSOTemplateDocerSaveRecord">
    <vt:lpwstr>eyJoZGlkIjoiMGNjMDA1OTUzM2Y5NDY5MTRjNzkzNDYwY2VhYzcwZjQiLCJ1c2VySWQiOiIzOTg0NTg4OTYifQ==</vt:lpwstr>
  </property>
</Properties>
</file>