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新加坡国立大学</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National University of Singapore</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w:t>
      </w:r>
      <w:r>
        <w:rPr>
          <w:rFonts w:hint="eastAsia" w:asciiTheme="minorHAnsi" w:hAnsiTheme="minorHAnsi" w:eastAsiaTheme="majorEastAsia" w:cstheme="minorHAnsi"/>
          <w:b/>
          <w:kern w:val="0"/>
          <w:sz w:val="32"/>
          <w:szCs w:val="21"/>
          <w:lang w:val="en-US" w:eastAsia="zh-CN"/>
        </w:rPr>
        <w:t>6寒假</w:t>
      </w:r>
      <w:r>
        <w:rPr>
          <w:rFonts w:hint="eastAsia" w:asciiTheme="minorHAnsi" w:hAnsiTheme="minorHAnsi" w:eastAsiaTheme="majorEastAsia" w:cstheme="minorHAnsi"/>
          <w:b/>
          <w:kern w:val="0"/>
          <w:sz w:val="32"/>
          <w:szCs w:val="21"/>
        </w:rPr>
        <w:t>“微生物组与癌症免疫疗法”访学项目</w:t>
      </w:r>
    </w:p>
    <w:p>
      <w:pPr>
        <w:widowControl/>
        <w:spacing w:line="360" w:lineRule="auto"/>
        <w:jc w:val="center"/>
        <w:rPr>
          <w:rFonts w:hint="default" w:asciiTheme="minorHAnsi" w:hAnsiTheme="minorHAnsi" w:eastAsiaTheme="majorEastAsia" w:cstheme="minorHAnsi"/>
          <w:b/>
          <w:bCs w:val="0"/>
          <w:szCs w:val="21"/>
          <w:highlight w:val="none"/>
          <w:lang w:val="en-US" w:eastAsia="zh-CN"/>
        </w:rPr>
      </w:pPr>
      <w:r>
        <w:rPr>
          <w:rFonts w:hint="default" w:asciiTheme="minorHAnsi" w:hAnsiTheme="minorHAnsi" w:eastAsiaTheme="majorEastAsia" w:cstheme="minorHAnsi"/>
          <w:b/>
          <w:szCs w:val="21"/>
          <w:lang w:eastAsia="zh-CN"/>
        </w:rPr>
        <w:t>202</w:t>
      </w:r>
      <w:r>
        <w:rPr>
          <w:rFonts w:hint="eastAsia" w:asciiTheme="minorHAnsi" w:hAnsiTheme="minorHAnsi" w:eastAsiaTheme="majorEastAsia" w:cstheme="minorHAnsi"/>
          <w:b/>
          <w:szCs w:val="21"/>
          <w:lang w:val="en-US" w:eastAsia="zh-CN"/>
        </w:rPr>
        <w:t>6</w:t>
      </w:r>
      <w:r>
        <w:rPr>
          <w:rFonts w:hint="default" w:asciiTheme="minorHAnsi" w:hAnsiTheme="minorHAnsi" w:eastAsiaTheme="majorEastAsia" w:cstheme="minorHAnsi"/>
          <w:b/>
          <w:szCs w:val="21"/>
          <w:lang w:eastAsia="zh-CN"/>
        </w:rPr>
        <w:t>年</w:t>
      </w:r>
      <w:r>
        <w:rPr>
          <w:rFonts w:hint="eastAsia" w:asciiTheme="minorHAnsi" w:hAnsiTheme="minorHAnsi" w:eastAsiaTheme="majorEastAsia" w:cstheme="minorHAnsi"/>
          <w:b/>
          <w:szCs w:val="21"/>
          <w:lang w:val="en-US" w:eastAsia="zh-CN"/>
        </w:rPr>
        <w:t>1</w:t>
      </w:r>
      <w:r>
        <w:rPr>
          <w:rFonts w:hint="default" w:asciiTheme="minorHAnsi" w:hAnsiTheme="minorHAnsi" w:eastAsiaTheme="majorEastAsia" w:cstheme="minorHAnsi"/>
          <w:b/>
          <w:szCs w:val="21"/>
          <w:lang w:eastAsia="zh-CN"/>
        </w:rPr>
        <w:t>月</w:t>
      </w:r>
      <w:r>
        <w:rPr>
          <w:rFonts w:hint="eastAsia" w:asciiTheme="minorHAnsi" w:hAnsiTheme="minorHAnsi" w:eastAsiaTheme="majorEastAsia" w:cstheme="minorHAnsi"/>
          <w:b/>
          <w:szCs w:val="21"/>
          <w:lang w:val="en-US" w:eastAsia="zh-CN"/>
        </w:rPr>
        <w:t>24</w:t>
      </w:r>
      <w:r>
        <w:rPr>
          <w:rFonts w:hint="default" w:asciiTheme="minorHAnsi" w:hAnsiTheme="minorHAnsi" w:eastAsiaTheme="majorEastAsia" w:cstheme="minorHAnsi"/>
          <w:b/>
          <w:szCs w:val="21"/>
          <w:lang w:eastAsia="zh-CN"/>
        </w:rPr>
        <w:t>日-</w:t>
      </w:r>
      <w:r>
        <w:rPr>
          <w:rFonts w:hint="eastAsia" w:asciiTheme="minorHAnsi" w:hAnsiTheme="minorHAnsi" w:eastAsiaTheme="majorEastAsia" w:cstheme="minorHAnsi"/>
          <w:b/>
          <w:szCs w:val="21"/>
          <w:lang w:val="en-US" w:eastAsia="zh-CN"/>
        </w:rPr>
        <w:t>1</w:t>
      </w:r>
      <w:r>
        <w:rPr>
          <w:rFonts w:hint="default" w:asciiTheme="minorHAnsi" w:hAnsiTheme="minorHAnsi" w:eastAsiaTheme="majorEastAsia" w:cstheme="minorHAnsi"/>
          <w:b/>
          <w:szCs w:val="21"/>
          <w:lang w:eastAsia="zh-CN"/>
        </w:rPr>
        <w:t>月</w:t>
      </w:r>
      <w:r>
        <w:rPr>
          <w:rFonts w:hint="eastAsia" w:asciiTheme="minorHAnsi" w:hAnsiTheme="minorHAnsi" w:eastAsiaTheme="majorEastAsia" w:cstheme="minorHAnsi"/>
          <w:b/>
          <w:szCs w:val="21"/>
          <w:lang w:val="en-US" w:eastAsia="zh-CN"/>
        </w:rPr>
        <w:t>31</w:t>
      </w:r>
      <w:r>
        <w:rPr>
          <w:rFonts w:hint="default" w:asciiTheme="minorHAnsi" w:hAnsiTheme="minorHAnsi" w:eastAsiaTheme="majorEastAsia" w:cstheme="minorHAnsi"/>
          <w:b/>
          <w:szCs w:val="21"/>
          <w:lang w:eastAsia="zh-CN"/>
        </w:rPr>
        <w:t>日</w:t>
      </w:r>
      <w:r>
        <w:rPr>
          <w:rFonts w:hint="eastAsia" w:asciiTheme="minorHAnsi" w:hAnsiTheme="minorHAnsi" w:eastAsiaTheme="majorEastAsia" w:cstheme="minorHAnsi"/>
          <w:b/>
          <w:bCs w:val="0"/>
          <w:szCs w:val="21"/>
          <w:highlight w:val="none"/>
          <w:lang w:val="en-US" w:eastAsia="zh-CN"/>
        </w:rPr>
        <w:t>（暂定）</w:t>
      </w:r>
    </w:p>
    <w:p>
      <w:pPr>
        <w:widowControl/>
        <w:spacing w:line="360" w:lineRule="auto"/>
        <w:jc w:val="center"/>
        <w:rPr>
          <w:rFonts w:hint="default" w:asciiTheme="minorHAnsi" w:hAnsiTheme="minorHAnsi" w:eastAsiaTheme="majorEastAsia" w:cstheme="minorHAnsi"/>
          <w:b/>
          <w:szCs w:val="21"/>
          <w:lang w:eastAsia="zh-CN"/>
        </w:rPr>
      </w:pPr>
    </w:p>
    <w:p>
      <w:pPr>
        <w:pStyle w:val="19"/>
        <w:widowControl/>
        <w:spacing w:line="360" w:lineRule="auto"/>
        <w:ind w:firstLine="0" w:firstLineChars="0"/>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szCs w:val="21"/>
        </w:rPr>
        <w:t>一、</w:t>
      </w:r>
      <w:r>
        <w:rPr>
          <w:rFonts w:hint="eastAsia" w:asciiTheme="minorHAnsi" w:hAnsiTheme="minorHAnsi" w:eastAsiaTheme="majorEastAsia" w:cstheme="minorHAnsi"/>
          <w:b/>
          <w:kern w:val="0"/>
          <w:szCs w:val="21"/>
        </w:rPr>
        <w:t>项目综述</w:t>
      </w:r>
    </w:p>
    <w:p>
      <w:pPr>
        <w:widowControl/>
        <w:spacing w:line="360" w:lineRule="auto"/>
        <w:ind w:firstLine="420" w:firstLineChars="200"/>
        <w:jc w:val="left"/>
        <w:rPr>
          <w:rFonts w:hint="default" w:asciiTheme="minorHAnsi" w:hAnsiTheme="minorHAnsi" w:cstheme="minorHAnsi"/>
          <w:kern w:val="0"/>
          <w:szCs w:val="21"/>
        </w:rPr>
      </w:pPr>
      <w:r>
        <w:rPr>
          <w:rFonts w:hint="eastAsia" w:asciiTheme="minorHAnsi" w:hAnsiTheme="minorHAnsi" w:cstheme="minorHAnsi"/>
          <w:kern w:val="0"/>
          <w:szCs w:val="21"/>
        </w:rPr>
        <w:t>新加坡国立大学（National University of Singapore），简称国大（NUS），</w:t>
      </w:r>
      <w:r>
        <w:rPr>
          <w:rFonts w:hint="eastAsia"/>
        </w:rPr>
        <w:t>始创于</w:t>
      </w:r>
      <w:r>
        <w:rPr>
          <w:rFonts w:hint="eastAsia" w:eastAsia="宋体" w:asciiTheme="minorHAnsi" w:hAnsiTheme="minorHAnsi" w:cstheme="minorHAnsi"/>
          <w:kern w:val="0"/>
          <w:szCs w:val="21"/>
        </w:rPr>
        <w:t>1905</w:t>
      </w:r>
      <w:r>
        <w:rPr>
          <w:rFonts w:hint="eastAsia"/>
        </w:rPr>
        <w:t>年，</w:t>
      </w:r>
      <w:r>
        <w:rPr>
          <w:rFonts w:hint="eastAsia" w:asciiTheme="minorHAnsi" w:hAnsiTheme="minorHAnsi" w:cstheme="minorHAnsi"/>
          <w:kern w:val="0"/>
          <w:szCs w:val="21"/>
        </w:rPr>
        <w:t>是新加坡首屈一指的世界级顶尖大学，</w:t>
      </w:r>
      <w:r>
        <w:rPr>
          <w:rFonts w:hint="eastAsia" w:asciiTheme="minorHAnsi" w:hAnsiTheme="minorHAnsi" w:cstheme="minorHAnsi"/>
          <w:kern w:val="0"/>
          <w:szCs w:val="21"/>
          <w:lang w:val="en-US" w:eastAsia="zh-Hans"/>
        </w:rPr>
        <w:t>在</w:t>
      </w:r>
      <w:r>
        <w:rPr>
          <w:rFonts w:hint="eastAsia" w:asciiTheme="minorHAnsi" w:hAnsiTheme="minorHAnsi" w:cstheme="minorHAnsi"/>
          <w:kern w:val="0"/>
          <w:szCs w:val="21"/>
        </w:rPr>
        <w:t>202</w:t>
      </w:r>
      <w:r>
        <w:rPr>
          <w:rFonts w:hint="eastAsia" w:asciiTheme="minorHAnsi" w:hAnsiTheme="minorHAnsi" w:cstheme="minorHAnsi"/>
          <w:kern w:val="0"/>
          <w:szCs w:val="21"/>
          <w:lang w:val="en-US" w:eastAsia="zh-CN"/>
        </w:rPr>
        <w:t>6</w:t>
      </w:r>
      <w:r>
        <w:rPr>
          <w:rFonts w:hint="eastAsia" w:asciiTheme="minorHAnsi" w:hAnsiTheme="minorHAnsi" w:cstheme="minorHAnsi"/>
          <w:kern w:val="0"/>
          <w:szCs w:val="21"/>
        </w:rPr>
        <w:t>QS亚洲大学排名第1位</w:t>
      </w:r>
      <w:r>
        <w:rPr>
          <w:rFonts w:hint="default" w:asciiTheme="minorHAnsi" w:hAnsiTheme="minorHAnsi" w:cstheme="minorHAnsi"/>
          <w:kern w:val="0"/>
          <w:szCs w:val="21"/>
        </w:rPr>
        <w:t>，</w:t>
      </w:r>
      <w:r>
        <w:rPr>
          <w:rFonts w:hint="eastAsia" w:asciiTheme="minorHAnsi" w:hAnsiTheme="minorHAnsi" w:cstheme="minorHAnsi"/>
          <w:kern w:val="0"/>
          <w:szCs w:val="21"/>
          <w:lang w:val="en-US" w:eastAsia="zh-CN"/>
        </w:rPr>
        <w:t>世</w:t>
      </w:r>
      <w:r>
        <w:rPr>
          <w:rFonts w:hint="eastAsia" w:asciiTheme="minorHAnsi" w:hAnsiTheme="minorHAnsi" w:cstheme="minorHAnsi"/>
          <w:kern w:val="0"/>
          <w:szCs w:val="21"/>
        </w:rPr>
        <w:t>界大学排名第</w:t>
      </w:r>
      <w:r>
        <w:rPr>
          <w:rFonts w:hint="default" w:asciiTheme="minorHAnsi" w:hAnsiTheme="minorHAnsi" w:cstheme="minorHAnsi"/>
          <w:kern w:val="0"/>
          <w:szCs w:val="21"/>
        </w:rPr>
        <w:t>8</w:t>
      </w:r>
      <w:r>
        <w:rPr>
          <w:rFonts w:hint="eastAsia" w:asciiTheme="minorHAnsi" w:hAnsiTheme="minorHAnsi" w:cstheme="minorHAnsi"/>
          <w:kern w:val="0"/>
          <w:szCs w:val="21"/>
        </w:rPr>
        <w:t>位</w:t>
      </w:r>
      <w:r>
        <w:rPr>
          <w:rFonts w:hint="default" w:asciiTheme="minorHAnsi" w:hAnsiTheme="minorHAnsi" w:cstheme="minorHAnsi"/>
          <w:kern w:val="0"/>
          <w:szCs w:val="21"/>
        </w:rPr>
        <w:t>。</w:t>
      </w:r>
    </w:p>
    <w:p>
      <w:pPr>
        <w:widowControl/>
        <w:spacing w:line="360" w:lineRule="auto"/>
        <w:ind w:firstLine="420" w:firstLineChars="200"/>
        <w:jc w:val="left"/>
        <w:rPr>
          <w:rFonts w:hint="default" w:asciiTheme="minorHAnsi" w:hAnsiTheme="minorHAnsi" w:eastAsiaTheme="majorEastAsia" w:cstheme="minorHAnsi"/>
          <w:kern w:val="0"/>
          <w:szCs w:val="21"/>
        </w:rPr>
      </w:pPr>
      <w:r>
        <w:rPr>
          <w:rFonts w:hint="eastAsia" w:asciiTheme="minorHAnsi" w:hAnsiTheme="minorHAnsi" w:cstheme="minorHAnsi"/>
          <w:kern w:val="0"/>
          <w:szCs w:val="21"/>
          <w:lang w:eastAsia="zh-Hans"/>
        </w:rPr>
        <w:t>“微生物组与癌症免疫疗法”访学项目</w:t>
      </w:r>
      <w:r>
        <w:rPr>
          <w:rFonts w:hint="eastAsia" w:asciiTheme="minorHAnsi" w:hAnsiTheme="minorHAnsi" w:cstheme="minorHAnsi"/>
          <w:kern w:val="0"/>
          <w:szCs w:val="21"/>
        </w:rPr>
        <w:t>课程由</w:t>
      </w:r>
      <w:r>
        <w:rPr>
          <w:rFonts w:hint="eastAsia"/>
          <w:lang w:val="en-US" w:eastAsia="zh-Hans"/>
        </w:rPr>
        <w:t>新加坡国立大学顶尖导师授课</w:t>
      </w:r>
      <w:r>
        <w:rPr>
          <w:rFonts w:hint="default" w:asciiTheme="minorHAnsi" w:hAnsiTheme="minorHAnsi" w:cstheme="minorHAnsi"/>
          <w:kern w:val="0"/>
          <w:szCs w:val="21"/>
          <w:lang w:eastAsia="zh-Hans"/>
        </w:rPr>
        <w:t>，旨在帮助学生扩大</w:t>
      </w:r>
      <w:r>
        <w:rPr>
          <w:rFonts w:hint="eastAsia" w:asciiTheme="minorHAnsi" w:hAnsiTheme="minorHAnsi" w:cstheme="minorHAnsi"/>
          <w:kern w:val="0"/>
          <w:szCs w:val="21"/>
          <w:lang w:val="en-US" w:eastAsia="zh-Hans"/>
        </w:rPr>
        <w:t>专业</w:t>
      </w:r>
      <w:r>
        <w:rPr>
          <w:rFonts w:hint="default" w:asciiTheme="minorHAnsi" w:hAnsiTheme="minorHAnsi" w:cstheme="minorHAnsi"/>
          <w:kern w:val="0"/>
          <w:szCs w:val="21"/>
          <w:lang w:eastAsia="zh-Hans"/>
        </w:rPr>
        <w:t>领域知识，</w:t>
      </w:r>
      <w:r>
        <w:rPr>
          <w:rFonts w:hint="eastAsia" w:asciiTheme="minorHAnsi" w:hAnsiTheme="minorHAnsi" w:cstheme="minorHAnsi"/>
          <w:kern w:val="0"/>
          <w:szCs w:val="21"/>
          <w:lang w:val="en-US" w:eastAsia="zh-Hans"/>
        </w:rPr>
        <w:t>深入体验世界一流大学的学术氛围</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在提高专业知识的同时全面锻炼英语听说读写综合水平</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收获国大官方项目证书</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项目同时安排有丰富的文化参访活动</w:t>
      </w:r>
      <w:r>
        <w:rPr>
          <w:rFonts w:hint="default" w:asciiTheme="minorHAnsi" w:hAnsiTheme="minorHAnsi" w:cstheme="minorHAnsi"/>
          <w:kern w:val="0"/>
          <w:szCs w:val="21"/>
          <w:lang w:eastAsia="zh-Hans"/>
        </w:rPr>
        <w:t>，</w:t>
      </w:r>
      <w:r>
        <w:rPr>
          <w:rFonts w:hint="eastAsia" w:asciiTheme="minorHAnsi" w:hAnsiTheme="minorHAnsi" w:cstheme="minorHAnsi"/>
          <w:kern w:val="0"/>
          <w:szCs w:val="21"/>
          <w:lang w:val="en-US" w:eastAsia="zh-Hans"/>
        </w:rPr>
        <w:t>充分领略新加坡城市风光与文化社会环境</w:t>
      </w:r>
      <w:r>
        <w:rPr>
          <w:rFonts w:hint="default" w:asciiTheme="minorHAnsi" w:hAnsiTheme="minorHAnsi" w:cstheme="minorHAnsi"/>
          <w:kern w:val="0"/>
          <w:szCs w:val="21"/>
          <w:lang w:eastAsia="zh-Hans"/>
        </w:rPr>
        <w:t>。</w:t>
      </w:r>
    </w:p>
    <w:p>
      <w:pPr>
        <w:widowControl/>
        <w:spacing w:line="360" w:lineRule="auto"/>
        <w:jc w:val="left"/>
        <w:rPr>
          <w:rFonts w:asciiTheme="minorHAnsi" w:hAnsiTheme="minorHAnsi" w:eastAsiaTheme="majorEastAsia" w:cstheme="minorHAnsi"/>
          <w:b/>
          <w:bCs/>
          <w:kern w:val="0"/>
          <w:szCs w:val="21"/>
          <w:highlight w:val="lightGray"/>
        </w:rPr>
      </w:pPr>
      <w:r>
        <w:drawing>
          <wp:anchor distT="0" distB="0" distL="114300" distR="114300" simplePos="0" relativeHeight="251659264" behindDoc="0" locked="0" layoutInCell="1" allowOverlap="1">
            <wp:simplePos x="0" y="0"/>
            <wp:positionH relativeFrom="column">
              <wp:posOffset>-158115</wp:posOffset>
            </wp:positionH>
            <wp:positionV relativeFrom="paragraph">
              <wp:posOffset>147955</wp:posOffset>
            </wp:positionV>
            <wp:extent cx="5756275" cy="2881630"/>
            <wp:effectExtent l="0" t="0" r="9525" b="13970"/>
            <wp:wrapSquare wrapText="bothSides"/>
            <wp:docPr id="1" name="图片 1" descr="C:\Users\20190311\Desktop\banner_utown.jpgbanner_u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0190311\Desktop\banner_utown.jpgbanner_utown"/>
                    <pic:cNvPicPr>
                      <a:picLocks noChangeAspect="1"/>
                    </pic:cNvPicPr>
                  </pic:nvPicPr>
                  <pic:blipFill>
                    <a:blip r:embed="rId5"/>
                    <a:srcRect b="18672"/>
                    <a:stretch>
                      <a:fillRect/>
                    </a:stretch>
                  </pic:blipFill>
                  <pic:spPr>
                    <a:xfrm>
                      <a:off x="0" y="0"/>
                      <a:ext cx="5756275" cy="2881630"/>
                    </a:xfrm>
                    <a:prstGeom prst="rect">
                      <a:avLst/>
                    </a:prstGeom>
                  </pic:spPr>
                </pic:pic>
              </a:graphicData>
            </a:graphic>
          </wp:anchor>
        </w:drawing>
      </w:r>
    </w:p>
    <w:p>
      <w:pPr>
        <w:widowControl/>
        <w:spacing w:line="360" w:lineRule="auto"/>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二、项目特色优势</w:t>
      </w: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【体验顶级名校教育资源】</w:t>
      </w:r>
      <w:r>
        <w:rPr>
          <w:rFonts w:hint="eastAsia" w:asciiTheme="minorHAnsi" w:hAnsiTheme="minorHAnsi" w:eastAsiaTheme="majorEastAsia" w:cstheme="minorHAnsi"/>
          <w:kern w:val="0"/>
          <w:szCs w:val="21"/>
        </w:rPr>
        <w:t>课程由新加坡国立大学的顶尖导师亲自授课，为国际学生提供优质的专业课程知识，</w:t>
      </w:r>
      <w:r>
        <w:rPr>
          <w:rFonts w:hint="eastAsia" w:asciiTheme="minorHAnsi" w:hAnsiTheme="minorHAnsi" w:eastAsiaTheme="majorEastAsia" w:cstheme="minorHAnsi"/>
          <w:kern w:val="0"/>
          <w:szCs w:val="21"/>
          <w:lang w:val="en-US" w:eastAsia="zh-Hans"/>
        </w:rPr>
        <w:t>深入体验名校学术氛围</w:t>
      </w:r>
      <w:r>
        <w:rPr>
          <w:rFonts w:asciiTheme="minorHAnsi" w:hAnsiTheme="minorHAnsi" w:eastAsiaTheme="majorEastAsia" w:cstheme="minorHAnsi"/>
          <w:kern w:val="0"/>
          <w:szCs w:val="21"/>
        </w:rPr>
        <w:t>；</w:t>
      </w:r>
    </w:p>
    <w:p>
      <w:pPr>
        <w:pStyle w:val="19"/>
        <w:widowControl/>
        <w:numPr>
          <w:ilvl w:val="0"/>
          <w:numId w:val="1"/>
        </w:numPr>
        <w:spacing w:line="360" w:lineRule="auto"/>
        <w:ind w:firstLineChars="0"/>
        <w:jc w:val="left"/>
        <w:rPr>
          <w:rFonts w:asciiTheme="minorHAnsi" w:hAnsiTheme="minorHAnsi" w:eastAsiaTheme="majorEastAsia" w:cstheme="minorHAnsi"/>
          <w:kern w:val="0"/>
          <w:szCs w:val="21"/>
        </w:rPr>
      </w:pPr>
      <w:r>
        <w:rPr>
          <w:rFonts w:hint="eastAsia" w:asciiTheme="minorHAnsi" w:hAnsiTheme="minorHAnsi" w:eastAsiaTheme="majorEastAsia" w:cstheme="minorHAnsi"/>
          <w:b/>
          <w:bCs/>
          <w:kern w:val="0"/>
          <w:szCs w:val="21"/>
        </w:rPr>
        <w:t>【全英课堂】</w:t>
      </w:r>
      <w:r>
        <w:rPr>
          <w:rFonts w:hint="eastAsia" w:asciiTheme="minorHAnsi" w:hAnsiTheme="minorHAnsi" w:eastAsiaTheme="majorEastAsia" w:cstheme="minorHAnsi"/>
          <w:kern w:val="0"/>
          <w:szCs w:val="21"/>
        </w:rPr>
        <w:t>通过全英课堂交流，不仅可以锻炼英语听说读写全方面能力，</w:t>
      </w:r>
      <w:r>
        <w:rPr>
          <w:rFonts w:hint="eastAsia" w:asciiTheme="minorHAnsi" w:hAnsiTheme="minorHAnsi" w:eastAsiaTheme="majorEastAsia" w:cstheme="minorHAnsi"/>
          <w:kern w:val="0"/>
          <w:szCs w:val="21"/>
          <w:lang w:val="en-US" w:eastAsia="zh-Hans"/>
        </w:rPr>
        <w:t>更能提高学术场景下的英语运用能力</w:t>
      </w:r>
      <w:r>
        <w:rPr>
          <w:rFonts w:hint="eastAsia" w:asciiTheme="minorHAnsi" w:hAnsiTheme="minorHAnsi" w:eastAsiaTheme="majorEastAsia" w:cstheme="minorHAnsi"/>
          <w:kern w:val="0"/>
          <w:szCs w:val="21"/>
        </w:rPr>
        <w:t>；</w:t>
      </w:r>
    </w:p>
    <w:p>
      <w:pPr>
        <w:pStyle w:val="19"/>
        <w:widowControl/>
        <w:numPr>
          <w:ilvl w:val="0"/>
          <w:numId w:val="1"/>
        </w:numPr>
        <w:spacing w:line="360" w:lineRule="auto"/>
        <w:ind w:firstLineChars="0"/>
        <w:jc w:val="left"/>
        <w:rPr>
          <w:rFonts w:asciiTheme="minorHAnsi" w:hAnsiTheme="minorHAnsi" w:eastAsiaTheme="majorEastAsia" w:cstheme="minorHAnsi"/>
          <w:kern w:val="0"/>
          <w:szCs w:val="21"/>
        </w:rPr>
      </w:pPr>
      <w:r>
        <w:rPr>
          <w:rFonts w:hint="default"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lang w:val="en-US" w:eastAsia="zh-Hans"/>
        </w:rPr>
        <w:t>文化参访</w:t>
      </w:r>
      <w:r>
        <w:rPr>
          <w:rFonts w:hint="default" w:asciiTheme="minorHAnsi" w:hAnsiTheme="minorHAnsi" w:eastAsiaTheme="majorEastAsia" w:cstheme="minorHAnsi"/>
          <w:b/>
          <w:bCs/>
          <w:kern w:val="0"/>
          <w:szCs w:val="21"/>
        </w:rPr>
        <w:t>】</w:t>
      </w:r>
      <w:r>
        <w:rPr>
          <w:rFonts w:hint="eastAsia" w:asciiTheme="minorHAnsi" w:hAnsiTheme="minorHAnsi" w:eastAsiaTheme="majorEastAsia" w:cstheme="minorHAnsi"/>
          <w:kern w:val="0"/>
          <w:szCs w:val="21"/>
          <w:lang w:val="en-US" w:eastAsia="zh-Hans"/>
        </w:rPr>
        <w:t>丰富的文化参访活动</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val="en-US" w:eastAsia="zh-Hans"/>
        </w:rPr>
        <w:t>深入体验新加坡风土人情与城市魅力</w:t>
      </w:r>
      <w:r>
        <w:rPr>
          <w:rFonts w:hint="default" w:asciiTheme="minorHAnsi" w:hAnsiTheme="minorHAnsi" w:eastAsiaTheme="majorEastAsia" w:cstheme="minorHAnsi"/>
          <w:kern w:val="0"/>
          <w:szCs w:val="21"/>
          <w:lang w:eastAsia="zh-Hans"/>
        </w:rPr>
        <w:t>；</w:t>
      </w: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【名校项目证书/</w:t>
      </w:r>
      <w:r>
        <w:rPr>
          <w:rFonts w:hint="default" w:asciiTheme="minorHAnsi" w:hAnsiTheme="minorHAnsi" w:eastAsiaTheme="majorEastAsia" w:cstheme="minorHAnsi"/>
          <w:b/>
          <w:bCs/>
          <w:kern w:val="0"/>
          <w:szCs w:val="21"/>
        </w:rPr>
        <w:t>测评报告/</w:t>
      </w:r>
      <w:r>
        <w:rPr>
          <w:rFonts w:hint="eastAsia" w:asciiTheme="minorHAnsi" w:hAnsiTheme="minorHAnsi" w:eastAsiaTheme="majorEastAsia" w:cstheme="minorHAnsi"/>
          <w:b/>
          <w:bCs/>
          <w:kern w:val="0"/>
          <w:szCs w:val="21"/>
          <w:lang w:val="en-US" w:eastAsia="zh-Hans"/>
        </w:rPr>
        <w:t>优秀小组</w:t>
      </w:r>
      <w:r>
        <w:rPr>
          <w:rFonts w:hint="eastAsia" w:asciiTheme="minorHAnsi" w:hAnsiTheme="minorHAnsi" w:eastAsiaTheme="majorEastAsia" w:cstheme="minorHAnsi"/>
          <w:b/>
          <w:bCs/>
          <w:kern w:val="0"/>
          <w:szCs w:val="21"/>
        </w:rPr>
        <w:t>证明】</w:t>
      </w:r>
      <w:r>
        <w:rPr>
          <w:rFonts w:hint="default" w:asciiTheme="minorHAnsi" w:hAnsiTheme="minorHAnsi" w:eastAsiaTheme="majorEastAsia" w:cstheme="minorHAnsi"/>
          <w:kern w:val="0"/>
          <w:szCs w:val="21"/>
        </w:rPr>
        <w:t>顺利结课后</w:t>
      </w:r>
      <w:r>
        <w:rPr>
          <w:rFonts w:hint="eastAsia" w:asciiTheme="minorHAnsi" w:hAnsiTheme="minorHAnsi" w:eastAsiaTheme="majorEastAsia" w:cstheme="minorHAnsi"/>
          <w:kern w:val="0"/>
          <w:szCs w:val="21"/>
        </w:rPr>
        <w:t>可获得新加坡国立大学主办学院开具的</w:t>
      </w:r>
      <w:r>
        <w:rPr>
          <w:rFonts w:hint="eastAsia" w:asciiTheme="minorHAnsi" w:hAnsiTheme="minorHAnsi" w:eastAsiaTheme="majorEastAsia" w:cstheme="minorHAnsi"/>
          <w:kern w:val="0"/>
          <w:szCs w:val="21"/>
          <w:lang w:val="en-US" w:eastAsia="zh-Hans"/>
        </w:rPr>
        <w:t>官方</w:t>
      </w:r>
      <w:r>
        <w:rPr>
          <w:rFonts w:hint="eastAsia" w:asciiTheme="minorHAnsi" w:hAnsiTheme="minorHAnsi" w:eastAsiaTheme="majorEastAsia" w:cstheme="minorHAnsi"/>
          <w:kern w:val="0"/>
          <w:szCs w:val="21"/>
        </w:rPr>
        <w:t>结业证书</w:t>
      </w:r>
      <w:r>
        <w:rPr>
          <w:rFonts w:hint="default" w:asciiTheme="minorHAnsi" w:hAnsiTheme="minorHAnsi" w:eastAsiaTheme="majorEastAsia" w:cstheme="minorHAnsi"/>
          <w:kern w:val="0"/>
          <w:szCs w:val="21"/>
        </w:rPr>
        <w:t>与测评报告，</w:t>
      </w:r>
      <w:r>
        <w:rPr>
          <w:rFonts w:hint="eastAsia" w:asciiTheme="minorHAnsi" w:hAnsiTheme="minorHAnsi" w:eastAsiaTheme="majorEastAsia" w:cstheme="minorHAnsi"/>
          <w:kern w:val="0"/>
          <w:szCs w:val="21"/>
          <w:lang w:val="en-US" w:eastAsia="zh-Hans"/>
        </w:rPr>
        <w:t>同时</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eastAsia="zh-Hans"/>
        </w:rPr>
        <w:t>在项目陈述报告中优胜的小组还可获得</w:t>
      </w:r>
      <w:r>
        <w:rPr>
          <w:rFonts w:hint="eastAsia" w:asciiTheme="minorHAnsi" w:hAnsiTheme="minorHAnsi" w:eastAsiaTheme="majorEastAsia" w:cstheme="minorHAnsi"/>
          <w:kern w:val="0"/>
          <w:szCs w:val="21"/>
        </w:rPr>
        <w:t>优秀学员证明</w:t>
      </w: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rPr>
        <w:t>为个人简历添砖加瓦。</w:t>
      </w:r>
    </w:p>
    <w:p>
      <w:pPr>
        <w:pStyle w:val="19"/>
        <w:widowControl/>
        <w:spacing w:line="360" w:lineRule="auto"/>
        <w:ind w:left="840" w:firstLine="0" w:firstLineChars="0"/>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三、新加坡国立大学简介</w:t>
      </w:r>
    </w:p>
    <w:p>
      <w:pPr>
        <w:numPr>
          <w:ilvl w:val="0"/>
          <w:numId w:val="2"/>
        </w:numPr>
        <w:spacing w:line="360" w:lineRule="auto"/>
        <w:rPr>
          <w:rFonts w:asciiTheme="minorHAnsi" w:hAnsiTheme="minorHAnsi" w:cstheme="minorHAnsi"/>
          <w:kern w:val="0"/>
          <w:szCs w:val="21"/>
        </w:rPr>
      </w:pPr>
      <w:r>
        <w:rPr>
          <w:rFonts w:hint="eastAsia" w:asciiTheme="minorHAnsi" w:hAnsiTheme="minorHAnsi" w:cstheme="minorHAnsi"/>
          <w:kern w:val="0"/>
          <w:szCs w:val="21"/>
        </w:rPr>
        <w:t>成立于1905年，是新加坡首屈一指的世界级顶尖大学，是环太平洋大学联盟、亚洲大学联盟、亚太国际教育协会、国际研究型大学联盟、Universitas 21、新工科教育国际联盟、国际应用科技开发协作网等高校联盟的成员，也通过AACSB和EQUIS认证。</w:t>
      </w:r>
    </w:p>
    <w:p>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cstheme="minorHAnsi"/>
          <w:kern w:val="0"/>
          <w:szCs w:val="21"/>
        </w:rPr>
        <w:t>新加坡国立大学位列202</w:t>
      </w:r>
      <w:r>
        <w:rPr>
          <w:rFonts w:hint="eastAsia" w:asciiTheme="minorHAnsi" w:hAnsiTheme="minorHAnsi" w:cstheme="minorHAnsi"/>
          <w:kern w:val="0"/>
          <w:szCs w:val="21"/>
          <w:lang w:val="en-US" w:eastAsia="zh-CN"/>
        </w:rPr>
        <w:t>6</w:t>
      </w:r>
      <w:r>
        <w:rPr>
          <w:rFonts w:hint="eastAsia" w:asciiTheme="minorHAnsi" w:hAnsiTheme="minorHAnsi" w:cstheme="minorHAnsi"/>
          <w:kern w:val="0"/>
          <w:szCs w:val="21"/>
        </w:rPr>
        <w:t>QS亚洲大学排名第1位</w:t>
      </w:r>
      <w:r>
        <w:rPr>
          <w:rFonts w:hint="default" w:asciiTheme="minorHAnsi" w:hAnsiTheme="minorHAnsi" w:cstheme="minorHAnsi"/>
          <w:kern w:val="0"/>
          <w:szCs w:val="21"/>
        </w:rPr>
        <w:t>，</w:t>
      </w:r>
      <w:r>
        <w:rPr>
          <w:rFonts w:hint="eastAsia" w:asciiTheme="minorHAnsi" w:hAnsiTheme="minorHAnsi" w:cstheme="minorHAnsi"/>
          <w:kern w:val="0"/>
          <w:szCs w:val="21"/>
          <w:lang w:val="en-US" w:eastAsia="zh-CN"/>
        </w:rPr>
        <w:t>世</w:t>
      </w:r>
      <w:r>
        <w:rPr>
          <w:rFonts w:hint="eastAsia" w:asciiTheme="minorHAnsi" w:hAnsiTheme="minorHAnsi" w:cstheme="minorHAnsi"/>
          <w:kern w:val="0"/>
          <w:szCs w:val="21"/>
        </w:rPr>
        <w:t>界大学排名第</w:t>
      </w:r>
      <w:r>
        <w:rPr>
          <w:rFonts w:hint="default" w:asciiTheme="minorHAnsi" w:hAnsiTheme="minorHAnsi" w:cstheme="minorHAnsi"/>
          <w:kern w:val="0"/>
          <w:szCs w:val="21"/>
        </w:rPr>
        <w:t>8</w:t>
      </w:r>
      <w:r>
        <w:rPr>
          <w:rFonts w:hint="eastAsia" w:asciiTheme="minorHAnsi" w:hAnsiTheme="minorHAnsi" w:cstheme="minorHAnsi"/>
          <w:kern w:val="0"/>
          <w:szCs w:val="21"/>
        </w:rPr>
        <w:t>位</w:t>
      </w:r>
      <w:r>
        <w:rPr>
          <w:rFonts w:hint="default" w:asciiTheme="minorHAnsi" w:hAnsiTheme="minorHAnsi" w:cstheme="minorHAnsi"/>
          <w:kern w:val="0"/>
          <w:szCs w:val="21"/>
        </w:rPr>
        <w:t>。</w:t>
      </w:r>
    </w:p>
    <w:p>
      <w:pPr>
        <w:numPr>
          <w:ilvl w:val="0"/>
          <w:numId w:val="2"/>
        </w:numPr>
        <w:spacing w:line="360" w:lineRule="auto"/>
        <w:rPr>
          <w:rFonts w:asciiTheme="minorHAnsi" w:hAnsiTheme="minorHAnsi" w:eastAsiaTheme="majorEastAsia" w:cstheme="minorHAnsi"/>
          <w:b/>
          <w:szCs w:val="21"/>
        </w:rPr>
      </w:pPr>
      <w:r>
        <w:rPr>
          <w:rFonts w:hint="eastAsia" w:asciiTheme="minorHAnsi" w:hAnsiTheme="minorHAnsi" w:eastAsiaTheme="majorEastAsia" w:cstheme="minorHAnsi"/>
          <w:kern w:val="0"/>
          <w:szCs w:val="21"/>
          <w:lang w:eastAsia="zh-Hans"/>
        </w:rPr>
        <w:t>新加坡国立大学进入世界前</w:t>
      </w:r>
      <w:r>
        <w:rPr>
          <w:rFonts w:asciiTheme="minorHAnsi" w:hAnsiTheme="minorHAnsi" w:eastAsiaTheme="majorEastAsia" w:cstheme="minorHAnsi"/>
          <w:kern w:val="0"/>
          <w:szCs w:val="21"/>
          <w:lang w:eastAsia="zh-Hans"/>
        </w:rPr>
        <w:t>10</w:t>
      </w:r>
      <w:r>
        <w:rPr>
          <w:rFonts w:hint="eastAsia" w:asciiTheme="minorHAnsi" w:hAnsiTheme="minorHAnsi" w:eastAsiaTheme="majorEastAsia" w:cstheme="minorHAnsi"/>
          <w:kern w:val="0"/>
          <w:szCs w:val="21"/>
          <w:lang w:eastAsia="zh-Hans"/>
        </w:rPr>
        <w:t>的专业包括</w:t>
      </w:r>
      <w:r>
        <w:rPr>
          <w:rFonts w:hint="default" w:asciiTheme="minorHAnsi" w:hAnsiTheme="minorHAnsi" w:eastAsiaTheme="majorEastAsia" w:cstheme="minorHAnsi"/>
          <w:kern w:val="0"/>
          <w:szCs w:val="21"/>
          <w:lang w:eastAsia="zh-Hans"/>
        </w:rPr>
        <w:t>艺术史（2）、土木与结构工程（3）、社会政策与行政（3）、化学工程</w:t>
      </w:r>
      <w:r>
        <w:rPr>
          <w:rFonts w:asciiTheme="minorHAnsi" w:hAnsiTheme="minorHAnsi" w:eastAsiaTheme="majorEastAsia" w:cstheme="minorHAnsi"/>
          <w:kern w:val="0"/>
          <w:szCs w:val="21"/>
          <w:lang w:eastAsia="zh-Hans"/>
        </w:rPr>
        <w:t>（4）、计算机科学与信息系统（4）、电气与电子工程（4）、地理学（6）、市场营销（6）、材料科学（6）、化学（7）、数据科学与人工智能（7）、商业与管理学（8）、语言学（8）、护理学（8）、药学与药理学（8）、建筑/建成环境（9）、数学（9）、机械、航空航天与制造工程（9）、环境科学（10）、法律（10）、政治与国际关系研究）、统计与运筹学（10）。</w:t>
      </w:r>
    </w:p>
    <w:p>
      <w:pPr>
        <w:numPr>
          <w:ilvl w:val="0"/>
          <w:numId w:val="0"/>
        </w:numPr>
        <w:spacing w:line="360" w:lineRule="auto"/>
        <w:ind w:leftChars="0"/>
        <w:rPr>
          <w:rFonts w:asciiTheme="minorHAnsi" w:hAnsiTheme="minorHAnsi" w:eastAsiaTheme="majorEastAsia" w:cstheme="minorHAnsi"/>
          <w:b/>
          <w:szCs w:val="21"/>
        </w:rPr>
      </w:pPr>
      <w:r>
        <w:rPr>
          <w:rFonts w:hint="eastAsia" w:asciiTheme="minorHAnsi" w:hAnsiTheme="minorHAnsi" w:eastAsiaTheme="majorEastAsia" w:cstheme="minorHAnsi"/>
          <w:b/>
          <w:szCs w:val="21"/>
        </w:rPr>
        <w:t>四、</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pPr>
        <w:widowControl/>
        <w:spacing w:line="360" w:lineRule="auto"/>
        <w:jc w:val="left"/>
        <w:rPr>
          <w:rFonts w:hint="default" w:cs="Calibri" w:asciiTheme="minorHAnsi" w:hAnsiTheme="minorHAnsi"/>
          <w:szCs w:val="21"/>
          <w:highlight w:val="none"/>
        </w:rPr>
      </w:pPr>
      <w:r>
        <w:rPr>
          <w:rFonts w:cs="Calibri" w:asciiTheme="minorHAnsi" w:hAnsiTheme="minorHAnsi"/>
          <w:szCs w:val="21"/>
          <w:highlight w:val="none"/>
        </w:rPr>
        <w:t>【</w:t>
      </w:r>
      <w:r>
        <w:rPr>
          <w:rFonts w:hint="eastAsia" w:cs="Calibri" w:asciiTheme="minorHAnsi" w:hAnsiTheme="minorHAnsi"/>
          <w:b/>
          <w:szCs w:val="21"/>
          <w:highlight w:val="none"/>
        </w:rPr>
        <w:t>课程日期</w:t>
      </w:r>
      <w:r>
        <w:rPr>
          <w:rFonts w:cs="Calibri" w:asciiTheme="minorHAnsi" w:hAnsiTheme="minorHAnsi"/>
          <w:szCs w:val="21"/>
          <w:highlight w:val="none"/>
        </w:rPr>
        <w:t>】</w:t>
      </w:r>
    </w:p>
    <w:p>
      <w:pPr>
        <w:spacing w:line="360" w:lineRule="auto"/>
        <w:rPr>
          <w:rFonts w:hint="default" w:cs="Calibri" w:asciiTheme="minorHAnsi" w:hAnsiTheme="minorHAnsi"/>
          <w:szCs w:val="21"/>
          <w:lang w:val="en-US" w:eastAsia="zh-CN"/>
        </w:rPr>
      </w:pPr>
      <w:r>
        <w:rPr>
          <w:rFonts w:hint="default" w:cs="Calibri" w:asciiTheme="minorHAnsi" w:hAnsiTheme="minorHAnsi"/>
          <w:szCs w:val="21"/>
          <w:lang w:eastAsia="zh-CN"/>
        </w:rPr>
        <w:t>202</w:t>
      </w:r>
      <w:r>
        <w:rPr>
          <w:rFonts w:hint="eastAsia" w:cs="Calibri" w:asciiTheme="minorHAnsi" w:hAnsiTheme="minorHAnsi"/>
          <w:szCs w:val="21"/>
          <w:lang w:val="en-US" w:eastAsia="zh-CN"/>
        </w:rPr>
        <w:t>6</w:t>
      </w:r>
      <w:r>
        <w:rPr>
          <w:rFonts w:hint="default" w:cs="Calibri" w:asciiTheme="minorHAnsi" w:hAnsiTheme="minorHAnsi"/>
          <w:szCs w:val="21"/>
          <w:lang w:eastAsia="zh-CN"/>
        </w:rPr>
        <w:t>年</w:t>
      </w:r>
      <w:r>
        <w:rPr>
          <w:rFonts w:hint="eastAsia" w:cs="Calibri" w:asciiTheme="minorHAnsi" w:hAnsiTheme="minorHAnsi"/>
          <w:szCs w:val="21"/>
          <w:lang w:val="en-US" w:eastAsia="zh-CN"/>
        </w:rPr>
        <w:t>1</w:t>
      </w:r>
      <w:r>
        <w:rPr>
          <w:rFonts w:hint="default" w:cs="Calibri" w:asciiTheme="minorHAnsi" w:hAnsiTheme="minorHAnsi"/>
          <w:szCs w:val="21"/>
          <w:lang w:eastAsia="zh-CN"/>
        </w:rPr>
        <w:t>月</w:t>
      </w:r>
      <w:r>
        <w:rPr>
          <w:rFonts w:hint="eastAsia" w:cs="Calibri" w:asciiTheme="minorHAnsi" w:hAnsiTheme="minorHAnsi"/>
          <w:szCs w:val="21"/>
          <w:lang w:val="en-US" w:eastAsia="zh-CN"/>
        </w:rPr>
        <w:t>24</w:t>
      </w:r>
      <w:r>
        <w:rPr>
          <w:rFonts w:hint="default" w:cs="Calibri" w:asciiTheme="minorHAnsi" w:hAnsiTheme="minorHAnsi"/>
          <w:szCs w:val="21"/>
          <w:lang w:eastAsia="zh-CN"/>
        </w:rPr>
        <w:t>日-</w:t>
      </w:r>
      <w:r>
        <w:rPr>
          <w:rFonts w:hint="eastAsia" w:cs="Calibri" w:asciiTheme="minorHAnsi" w:hAnsiTheme="minorHAnsi"/>
          <w:szCs w:val="21"/>
          <w:lang w:val="en-US" w:eastAsia="zh-CN"/>
        </w:rPr>
        <w:t>1</w:t>
      </w:r>
      <w:r>
        <w:rPr>
          <w:rFonts w:hint="default" w:cs="Calibri" w:asciiTheme="minorHAnsi" w:hAnsiTheme="minorHAnsi"/>
          <w:szCs w:val="21"/>
          <w:lang w:eastAsia="zh-CN"/>
        </w:rPr>
        <w:t>月</w:t>
      </w:r>
      <w:r>
        <w:rPr>
          <w:rFonts w:hint="eastAsia" w:cs="Calibri" w:asciiTheme="minorHAnsi" w:hAnsiTheme="minorHAnsi"/>
          <w:szCs w:val="21"/>
          <w:lang w:val="en-US" w:eastAsia="zh-CN"/>
        </w:rPr>
        <w:t>31</w:t>
      </w:r>
      <w:r>
        <w:rPr>
          <w:rFonts w:hint="default" w:cs="Calibri" w:asciiTheme="minorHAnsi" w:hAnsiTheme="minorHAnsi"/>
          <w:szCs w:val="21"/>
          <w:lang w:eastAsia="zh-CN"/>
        </w:rPr>
        <w:t>日</w:t>
      </w:r>
      <w:r>
        <w:rPr>
          <w:rFonts w:hint="eastAsia" w:cs="Calibri" w:asciiTheme="minorHAnsi" w:hAnsiTheme="minorHAnsi"/>
          <w:szCs w:val="21"/>
          <w:lang w:val="en-US" w:eastAsia="zh-CN"/>
        </w:rPr>
        <w:t>（暂定，可定制）</w:t>
      </w: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numPr>
          <w:ilvl w:val="0"/>
          <w:numId w:val="0"/>
        </w:numPr>
        <w:spacing w:line="360" w:lineRule="auto"/>
        <w:ind w:leftChars="0" w:firstLine="420" w:firstLineChars="0"/>
        <w:rPr>
          <w:rFonts w:hint="default" w:cs="Calibri" w:asciiTheme="minorHAnsi" w:hAnsiTheme="minorHAnsi"/>
          <w:szCs w:val="21"/>
        </w:rPr>
      </w:pPr>
      <w:r>
        <w:rPr>
          <w:rFonts w:hint="eastAsia" w:cs="Calibri" w:asciiTheme="minorHAnsi" w:hAnsiTheme="minorHAnsi"/>
          <w:szCs w:val="21"/>
          <w:lang w:val="en-US" w:eastAsia="zh-CN"/>
        </w:rPr>
        <w:t>本项目</w:t>
      </w:r>
      <w:r>
        <w:rPr>
          <w:rFonts w:hint="default" w:cs="Calibri" w:asciiTheme="minorHAnsi" w:hAnsiTheme="minorHAnsi"/>
          <w:szCs w:val="21"/>
        </w:rPr>
        <w:t>旨在探索微生物组与免疫系统之间的复杂关系及其在癌症诊断和治疗中的应用。学生将深入了解微生物组如何影响免疫调节和抗肿瘤免疫反应，掌握最前沿的下一代测序（NGS）技术，以及现代癌症免疫疗法的核心概念和实验设计方法。</w:t>
      </w:r>
    </w:p>
    <w:p>
      <w:pPr>
        <w:numPr>
          <w:ilvl w:val="0"/>
          <w:numId w:val="0"/>
        </w:numPr>
        <w:spacing w:line="360" w:lineRule="auto"/>
        <w:ind w:leftChars="0" w:firstLine="420" w:firstLineChars="0"/>
        <w:rPr>
          <w:rFonts w:hint="default" w:cs="Calibri" w:asciiTheme="minorHAnsi" w:hAnsiTheme="minorHAnsi"/>
          <w:szCs w:val="21"/>
        </w:rPr>
      </w:pPr>
      <w:r>
        <w:rPr>
          <w:rFonts w:hint="default" w:cs="Calibri" w:asciiTheme="minorHAnsi" w:hAnsiTheme="minorHAnsi"/>
          <w:szCs w:val="21"/>
        </w:rPr>
        <w:t>让学生在全面了解癌症免疫治疗领域最新进展的同时，锻炼科研思维和团队协作能力。本课程不仅为学生未来的医学研究和临床实践奠定坚实基础，更激发他们探索生命科学前沿的热情。</w:t>
      </w:r>
    </w:p>
    <w:p>
      <w:pPr>
        <w:spacing w:line="360" w:lineRule="auto"/>
        <w:ind w:left="0" w:leftChars="0" w:firstLine="0" w:firstLineChars="0"/>
        <w:rPr>
          <w:rFonts w:hint="default" w:cs="Calibri" w:asciiTheme="minorHAnsi" w:hAnsiTheme="minorHAnsi"/>
          <w:b/>
          <w:bCs/>
          <w:i/>
          <w:iCs/>
          <w:szCs w:val="21"/>
          <w:lang w:eastAsia="zh-Hans"/>
        </w:rPr>
      </w:pPr>
      <w:r>
        <w:rPr>
          <w:rFonts w:hint="eastAsia" w:cs="Calibri" w:asciiTheme="minorHAnsi" w:hAnsiTheme="minorHAnsi"/>
          <w:b/>
          <w:bCs/>
          <w:i/>
          <w:iCs/>
          <w:szCs w:val="21"/>
          <w:lang w:val="en-US" w:eastAsia="zh-Hans"/>
        </w:rPr>
        <w:t>参考日程</w:t>
      </w:r>
      <w:r>
        <w:rPr>
          <w:rFonts w:hint="default" w:cs="Calibri" w:asciiTheme="minorHAnsi" w:hAnsiTheme="minorHAnsi"/>
          <w:b/>
          <w:bCs/>
          <w:i/>
          <w:iCs/>
          <w:szCs w:val="21"/>
          <w:lang w:eastAsia="zh-Hans"/>
        </w:rPr>
        <w:t>（</w:t>
      </w:r>
      <w:r>
        <w:rPr>
          <w:rFonts w:hint="eastAsia" w:cs="Calibri" w:asciiTheme="minorHAnsi" w:hAnsiTheme="minorHAnsi"/>
          <w:b/>
          <w:bCs/>
          <w:i/>
          <w:iCs/>
          <w:szCs w:val="21"/>
          <w:lang w:val="en-US" w:eastAsia="zh-Hans"/>
        </w:rPr>
        <w:t>仅供参考</w:t>
      </w:r>
      <w:r>
        <w:rPr>
          <w:rFonts w:hint="default" w:cs="Calibri" w:asciiTheme="minorHAnsi" w:hAnsiTheme="minorHAnsi"/>
          <w:b/>
          <w:bCs/>
          <w:i/>
          <w:iCs/>
          <w:szCs w:val="21"/>
          <w:lang w:eastAsia="zh-Hans"/>
        </w:rPr>
        <w:t>，</w:t>
      </w:r>
      <w:r>
        <w:rPr>
          <w:rFonts w:hint="eastAsia" w:cs="Calibri" w:asciiTheme="minorHAnsi" w:hAnsiTheme="minorHAnsi"/>
          <w:b/>
          <w:bCs/>
          <w:i/>
          <w:iCs/>
          <w:szCs w:val="21"/>
          <w:lang w:val="en-US" w:eastAsia="zh-Hans"/>
        </w:rPr>
        <w:t>以实际安排为准</w:t>
      </w:r>
      <w:r>
        <w:rPr>
          <w:rFonts w:hint="default" w:cs="Calibri" w:asciiTheme="minorHAnsi" w:hAnsiTheme="minorHAnsi"/>
          <w:b/>
          <w:bCs/>
          <w:i/>
          <w:iCs/>
          <w:szCs w:val="21"/>
          <w:lang w:eastAsia="zh-Hans"/>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6657"/>
      </w:tblGrid>
      <w:tr>
        <w:tc>
          <w:tcPr>
            <w:tcW w:w="1865" w:type="dxa"/>
            <w:vAlign w:val="top"/>
          </w:tcPr>
          <w:p>
            <w:pPr>
              <w:numPr>
                <w:ilvl w:val="0"/>
                <w:numId w:val="0"/>
              </w:numPr>
              <w:spacing w:line="360" w:lineRule="auto"/>
              <w:ind w:left="0" w:leftChars="0" w:firstLine="0" w:firstLineChars="0"/>
              <w:jc w:val="center"/>
              <w:rPr>
                <w:rFonts w:hint="default" w:cs="Calibri" w:asciiTheme="minorHAnsi" w:hAnsiTheme="minorHAnsi"/>
                <w:szCs w:val="21"/>
                <w:vertAlign w:val="baseline"/>
                <w:lang w:eastAsia="zh-Hans"/>
              </w:rPr>
            </w:pPr>
            <w:r>
              <w:rPr>
                <w:rFonts w:hint="eastAsia" w:cs="Calibri" w:asciiTheme="minorHAnsi" w:hAnsiTheme="minorHAnsi"/>
                <w:szCs w:val="21"/>
                <w:vertAlign w:val="baseline"/>
                <w:lang w:val="en-US" w:eastAsia="zh-Hans"/>
              </w:rPr>
              <w:t>周六</w:t>
            </w:r>
          </w:p>
        </w:tc>
        <w:tc>
          <w:tcPr>
            <w:tcW w:w="6657" w:type="dxa"/>
            <w:vAlign w:val="top"/>
          </w:tcPr>
          <w:p>
            <w:pPr>
              <w:numPr>
                <w:ilvl w:val="0"/>
                <w:numId w:val="0"/>
              </w:numPr>
              <w:spacing w:line="360" w:lineRule="auto"/>
              <w:ind w:left="0" w:leftChars="0" w:firstLine="0" w:firstLineChars="0"/>
              <w:rPr>
                <w:rFonts w:hint="default" w:asciiTheme="minorHAnsi" w:hAnsiTheme="minorHAnsi"/>
                <w:szCs w:val="21"/>
                <w:vertAlign w:val="baseline"/>
                <w:lang w:eastAsia="zh-Hans"/>
              </w:rPr>
            </w:pPr>
            <w:r>
              <w:rPr>
                <w:rFonts w:hint="eastAsia" w:asciiTheme="minorHAnsi" w:hAnsiTheme="minorHAnsi"/>
                <w:szCs w:val="21"/>
                <w:vertAlign w:val="baseline"/>
                <w:lang w:val="en-US" w:eastAsia="zh-Hans"/>
              </w:rPr>
              <w:t>出发</w:t>
            </w:r>
            <w:r>
              <w:rPr>
                <w:rFonts w:hint="default" w:asciiTheme="minorHAnsi" w:hAnsiTheme="minorHAnsi"/>
                <w:szCs w:val="21"/>
                <w:vertAlign w:val="baseline"/>
                <w:lang w:eastAsia="zh-Hans"/>
              </w:rPr>
              <w:t>，</w:t>
            </w:r>
            <w:r>
              <w:rPr>
                <w:rFonts w:hint="eastAsia" w:asciiTheme="minorHAnsi" w:hAnsiTheme="minorHAnsi"/>
                <w:szCs w:val="21"/>
                <w:vertAlign w:val="baseline"/>
                <w:lang w:val="en-US" w:eastAsia="zh-Hans"/>
              </w:rPr>
              <w:t>抵达新加坡</w:t>
            </w:r>
            <w:r>
              <w:rPr>
                <w:rFonts w:hint="default" w:asciiTheme="minorHAnsi" w:hAnsiTheme="minorHAnsi"/>
                <w:szCs w:val="21"/>
                <w:vertAlign w:val="baseline"/>
                <w:lang w:eastAsia="zh-Hans"/>
              </w:rPr>
              <w:t>，</w:t>
            </w:r>
            <w:r>
              <w:rPr>
                <w:rFonts w:hint="eastAsia" w:asciiTheme="minorHAnsi" w:hAnsiTheme="minorHAnsi"/>
                <w:szCs w:val="21"/>
                <w:vertAlign w:val="baseline"/>
                <w:lang w:val="en-US" w:eastAsia="zh-Hans"/>
              </w:rPr>
              <w:t>接机送至</w:t>
            </w:r>
            <w:r>
              <w:rPr>
                <w:rFonts w:hint="default" w:asciiTheme="minorHAnsi" w:hAnsiTheme="minorHAnsi"/>
                <w:szCs w:val="21"/>
                <w:vertAlign w:val="baseline"/>
                <w:lang w:eastAsia="zh-Hans"/>
              </w:rPr>
              <w:t>酒店，</w:t>
            </w:r>
            <w:r>
              <w:rPr>
                <w:rFonts w:hint="eastAsia" w:asciiTheme="minorHAnsi" w:hAnsiTheme="minorHAnsi"/>
                <w:szCs w:val="21"/>
                <w:vertAlign w:val="baseline"/>
                <w:lang w:val="en-US" w:eastAsia="zh-Hans"/>
              </w:rPr>
              <w:t>电话卡地铁卡等常用物品介绍</w:t>
            </w:r>
          </w:p>
        </w:tc>
      </w:tr>
      <w:tr>
        <w:tc>
          <w:tcPr>
            <w:tcW w:w="1865" w:type="dxa"/>
            <w:vAlign w:val="top"/>
          </w:tcPr>
          <w:p>
            <w:pPr>
              <w:numPr>
                <w:ilvl w:val="0"/>
                <w:numId w:val="0"/>
              </w:numPr>
              <w:spacing w:line="360" w:lineRule="auto"/>
              <w:ind w:left="0" w:leftChars="0" w:firstLine="0" w:firstLineChars="0"/>
              <w:jc w:val="center"/>
              <w:rPr>
                <w:rFonts w:hint="default" w:cs="Calibri" w:asciiTheme="minorHAnsi" w:hAnsiTheme="minorHAnsi"/>
                <w:szCs w:val="21"/>
                <w:vertAlign w:val="baseline"/>
                <w:lang w:eastAsia="zh-Hans"/>
              </w:rPr>
            </w:pPr>
            <w:r>
              <w:rPr>
                <w:rFonts w:hint="eastAsia" w:cs="Calibri" w:asciiTheme="minorHAnsi" w:hAnsiTheme="minorHAnsi"/>
                <w:szCs w:val="21"/>
                <w:vertAlign w:val="baseline"/>
                <w:lang w:val="en-US" w:eastAsia="zh-Hans"/>
              </w:rPr>
              <w:t>周日</w:t>
            </w:r>
          </w:p>
        </w:tc>
        <w:tc>
          <w:tcPr>
            <w:tcW w:w="6657" w:type="dxa"/>
            <w:vAlign w:val="top"/>
          </w:tcPr>
          <w:p>
            <w:pPr>
              <w:numPr>
                <w:ilvl w:val="0"/>
                <w:numId w:val="0"/>
              </w:numPr>
              <w:spacing w:line="360" w:lineRule="auto"/>
              <w:ind w:left="0" w:leftChars="0" w:firstLine="0" w:firstLineChars="0"/>
              <w:rPr>
                <w:rFonts w:hint="default" w:asciiTheme="minorHAnsi" w:hAnsiTheme="minorHAnsi"/>
                <w:szCs w:val="21"/>
                <w:vertAlign w:val="baseline"/>
                <w:lang w:val="en-US" w:eastAsia="zh-Hans"/>
              </w:rPr>
            </w:pPr>
            <w:r>
              <w:rPr>
                <w:rFonts w:hint="eastAsia" w:asciiTheme="minorHAnsi" w:hAnsiTheme="minorHAnsi"/>
                <w:szCs w:val="21"/>
                <w:vertAlign w:val="baseline"/>
                <w:lang w:val="en-US" w:eastAsia="zh-Hans"/>
              </w:rPr>
              <w:t>文化参访</w:t>
            </w:r>
          </w:p>
        </w:tc>
      </w:tr>
      <w:tr>
        <w:tc>
          <w:tcPr>
            <w:tcW w:w="1094" w:type="pct"/>
            <w:vAlign w:val="top"/>
          </w:tcPr>
          <w:p>
            <w:pPr>
              <w:numPr>
                <w:ilvl w:val="0"/>
                <w:numId w:val="0"/>
              </w:numPr>
              <w:spacing w:line="360" w:lineRule="auto"/>
              <w:ind w:left="0" w:leftChars="0" w:firstLine="0" w:firstLineChars="0"/>
              <w:jc w:val="center"/>
              <w:rPr>
                <w:rFonts w:hint="eastAsia" w:eastAsia="宋体" w:cs="Calibri" w:asciiTheme="minorHAnsi" w:hAnsiTheme="minorHAnsi"/>
                <w:szCs w:val="21"/>
                <w:vertAlign w:val="baseline"/>
                <w:lang w:val="en-US" w:eastAsia="zh-CN"/>
              </w:rPr>
            </w:pPr>
            <w:r>
              <w:rPr>
                <w:rFonts w:hint="eastAsia" w:cs="Calibri" w:asciiTheme="minorHAnsi" w:hAnsiTheme="minorHAnsi"/>
                <w:szCs w:val="21"/>
                <w:vertAlign w:val="baseline"/>
                <w:lang w:val="en-US" w:eastAsia="zh-Hans"/>
              </w:rPr>
              <w:t>周</w:t>
            </w:r>
            <w:r>
              <w:rPr>
                <w:rFonts w:hint="eastAsia" w:cs="Calibri" w:asciiTheme="minorHAnsi" w:hAnsiTheme="minorHAnsi"/>
                <w:szCs w:val="21"/>
                <w:vertAlign w:val="baseline"/>
                <w:lang w:val="en-US" w:eastAsia="zh-CN"/>
              </w:rPr>
              <w:t>一</w:t>
            </w:r>
          </w:p>
        </w:tc>
        <w:tc>
          <w:tcPr>
            <w:tcW w:w="3905" w:type="pct"/>
          </w:tcPr>
          <w:p>
            <w:pPr>
              <w:numPr>
                <w:ilvl w:val="0"/>
                <w:numId w:val="3"/>
              </w:numPr>
              <w:spacing w:line="360" w:lineRule="auto"/>
              <w:ind w:left="420" w:leftChars="0" w:hanging="420" w:firstLineChars="0"/>
              <w:rPr>
                <w:rFonts w:hint="default" w:asciiTheme="minorHAnsi" w:hAnsiTheme="minorHAnsi"/>
                <w:szCs w:val="21"/>
                <w:vertAlign w:val="baseline"/>
                <w:lang w:eastAsia="zh-Hans"/>
              </w:rPr>
            </w:pPr>
            <w:r>
              <w:rPr>
                <w:rFonts w:hint="eastAsia" w:cs="Calibri" w:asciiTheme="minorHAnsi" w:hAnsiTheme="minorHAnsi"/>
                <w:szCs w:val="21"/>
                <w:lang w:val="en-US" w:eastAsia="zh-Hans"/>
              </w:rPr>
              <w:t>开课迎新会</w:t>
            </w:r>
          </w:p>
          <w:p>
            <w:pPr>
              <w:numPr>
                <w:ilvl w:val="0"/>
                <w:numId w:val="3"/>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微生物组、免疫与癌症</w:t>
            </w:r>
          </w:p>
          <w:p>
            <w:pPr>
              <w:numPr>
                <w:ilvl w:val="0"/>
                <w:numId w:val="4"/>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微生物组在免疫中的免疫激活和调节功能。</w:t>
            </w:r>
          </w:p>
          <w:p>
            <w:pPr>
              <w:numPr>
                <w:ilvl w:val="0"/>
                <w:numId w:val="4"/>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微生物组与癌症的关联。</w:t>
            </w:r>
          </w:p>
          <w:p>
            <w:pPr>
              <w:numPr>
                <w:ilvl w:val="0"/>
                <w:numId w:val="4"/>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针对微生物组进行癌症诊断与治疗的潜力。</w:t>
            </w:r>
          </w:p>
          <w:p>
            <w:pPr>
              <w:numPr>
                <w:ilvl w:val="0"/>
                <w:numId w:val="5"/>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肠道寄生虫对肠道微生物组的影响</w:t>
            </w:r>
          </w:p>
          <w:p>
            <w:pPr>
              <w:numPr>
                <w:ilvl w:val="0"/>
                <w:numId w:val="4"/>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作为单细胞真核生物（SCEs）的肠道原生动物介绍。</w:t>
            </w:r>
          </w:p>
          <w:p>
            <w:pPr>
              <w:numPr>
                <w:ilvl w:val="0"/>
                <w:numId w:val="4"/>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研究SCEs作为微生物组组成部分的实验方法。</w:t>
            </w:r>
          </w:p>
          <w:p>
            <w:pPr>
              <w:numPr>
                <w:ilvl w:val="0"/>
                <w:numId w:val="4"/>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当前理解对肠道健康和疾病的影响。</w:t>
            </w:r>
          </w:p>
        </w:tc>
      </w:tr>
      <w:tr>
        <w:tc>
          <w:tcPr>
            <w:tcW w:w="1094" w:type="pct"/>
            <w:vAlign w:val="top"/>
          </w:tcPr>
          <w:p>
            <w:pPr>
              <w:numPr>
                <w:ilvl w:val="0"/>
                <w:numId w:val="0"/>
              </w:numPr>
              <w:spacing w:line="360" w:lineRule="auto"/>
              <w:ind w:left="0" w:leftChars="0" w:firstLine="0" w:firstLineChars="0"/>
              <w:jc w:val="center"/>
              <w:rPr>
                <w:rFonts w:hint="eastAsia" w:eastAsia="宋体" w:cs="Calibri" w:asciiTheme="minorHAnsi" w:hAnsiTheme="minorHAnsi"/>
                <w:szCs w:val="21"/>
                <w:vertAlign w:val="baseline"/>
                <w:lang w:eastAsia="zh-CN"/>
              </w:rPr>
            </w:pPr>
            <w:r>
              <w:rPr>
                <w:rFonts w:hint="eastAsia" w:cs="Calibri" w:asciiTheme="minorHAnsi" w:hAnsiTheme="minorHAnsi"/>
                <w:szCs w:val="21"/>
                <w:vertAlign w:val="baseline"/>
                <w:lang w:val="en-US" w:eastAsia="zh-Hans"/>
              </w:rPr>
              <w:t>周</w:t>
            </w:r>
            <w:r>
              <w:rPr>
                <w:rFonts w:hint="eastAsia" w:cs="Calibri" w:asciiTheme="minorHAnsi" w:hAnsiTheme="minorHAnsi"/>
                <w:szCs w:val="21"/>
                <w:vertAlign w:val="baseline"/>
                <w:lang w:val="en-US" w:eastAsia="zh-CN"/>
              </w:rPr>
              <w:t>二</w:t>
            </w:r>
          </w:p>
        </w:tc>
        <w:tc>
          <w:tcPr>
            <w:tcW w:w="3905" w:type="pct"/>
          </w:tcPr>
          <w:p>
            <w:pPr>
              <w:numPr>
                <w:ilvl w:val="0"/>
                <w:numId w:val="6"/>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微生物组分析的NGS工作流程</w:t>
            </w:r>
          </w:p>
          <w:p>
            <w:pPr>
              <w:numPr>
                <w:ilvl w:val="0"/>
                <w:numId w:val="7"/>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微生物组分析的下一代测序（NGS）工作流程概述。</w:t>
            </w:r>
          </w:p>
          <w:p>
            <w:pPr>
              <w:numPr>
                <w:ilvl w:val="0"/>
                <w:numId w:val="7"/>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NGS样本准备。</w:t>
            </w:r>
          </w:p>
          <w:p>
            <w:pPr>
              <w:numPr>
                <w:ilvl w:val="0"/>
                <w:numId w:val="7"/>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数据分析的资源与工具</w:t>
            </w:r>
          </w:p>
        </w:tc>
      </w:tr>
      <w:tr>
        <w:tc>
          <w:tcPr>
            <w:tcW w:w="1094" w:type="pct"/>
            <w:vAlign w:val="top"/>
          </w:tcPr>
          <w:p>
            <w:pPr>
              <w:numPr>
                <w:ilvl w:val="0"/>
                <w:numId w:val="0"/>
              </w:numPr>
              <w:spacing w:line="360" w:lineRule="auto"/>
              <w:ind w:left="0" w:leftChars="0" w:firstLine="0" w:firstLineChars="0"/>
              <w:jc w:val="center"/>
              <w:rPr>
                <w:rFonts w:hint="eastAsia" w:eastAsia="宋体" w:cs="Calibri" w:asciiTheme="minorHAnsi" w:hAnsiTheme="minorHAnsi"/>
                <w:szCs w:val="21"/>
                <w:vertAlign w:val="baseline"/>
                <w:lang w:eastAsia="zh-CN"/>
              </w:rPr>
            </w:pPr>
            <w:r>
              <w:rPr>
                <w:rFonts w:hint="eastAsia" w:cs="Calibri" w:asciiTheme="minorHAnsi" w:hAnsiTheme="minorHAnsi"/>
                <w:szCs w:val="21"/>
                <w:vertAlign w:val="baseline"/>
                <w:lang w:val="en-US" w:eastAsia="zh-Hans"/>
              </w:rPr>
              <w:t>周</w:t>
            </w:r>
            <w:r>
              <w:rPr>
                <w:rFonts w:hint="eastAsia" w:cs="Calibri" w:asciiTheme="minorHAnsi" w:hAnsiTheme="minorHAnsi"/>
                <w:szCs w:val="21"/>
                <w:vertAlign w:val="baseline"/>
                <w:lang w:val="en-US" w:eastAsia="zh-CN"/>
              </w:rPr>
              <w:t>三</w:t>
            </w:r>
          </w:p>
        </w:tc>
        <w:tc>
          <w:tcPr>
            <w:tcW w:w="3905" w:type="pct"/>
          </w:tcPr>
          <w:p>
            <w:pPr>
              <w:numPr>
                <w:ilvl w:val="0"/>
                <w:numId w:val="8"/>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免疫监视与抗肿瘤免疫</w:t>
            </w:r>
          </w:p>
          <w:p>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抗肿瘤免疫反应的证据。</w:t>
            </w:r>
          </w:p>
          <w:p>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肿瘤抗原的概念。</w:t>
            </w:r>
          </w:p>
          <w:p>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抗肿瘤免疫机制。</w:t>
            </w:r>
          </w:p>
          <w:p>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肿瘤微环境的影响。</w:t>
            </w:r>
          </w:p>
          <w:p>
            <w:pPr>
              <w:numPr>
                <w:ilvl w:val="0"/>
                <w:numId w:val="10"/>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评估免疫激活的当前技术</w:t>
            </w:r>
          </w:p>
          <w:p>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流式细胞术（Flow Cytometry）。</w:t>
            </w:r>
          </w:p>
          <w:p>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T细胞增殖实验。</w:t>
            </w:r>
          </w:p>
          <w:p>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T细胞毒性检测。</w:t>
            </w:r>
          </w:p>
          <w:p>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ELISA技术应用。</w:t>
            </w:r>
          </w:p>
          <w:p>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Crispr/Cas9体内外筛选。</w:t>
            </w:r>
          </w:p>
          <w:p>
            <w:pPr>
              <w:numPr>
                <w:ilvl w:val="0"/>
                <w:numId w:val="9"/>
              </w:numPr>
              <w:spacing w:line="360" w:lineRule="auto"/>
              <w:ind w:left="420" w:leftChars="0" w:hanging="420" w:firstLineChars="0"/>
              <w:rPr>
                <w:rFonts w:hint="default" w:cs="Calibri" w:asciiTheme="minorHAnsi" w:hAnsiTheme="minorHAnsi"/>
                <w:szCs w:val="21"/>
                <w:vertAlign w:val="baseline"/>
                <w:lang w:eastAsia="zh-Hans"/>
              </w:rPr>
            </w:pPr>
            <w:r>
              <w:rPr>
                <w:rFonts w:hint="default" w:cs="Calibri" w:asciiTheme="minorHAnsi" w:hAnsiTheme="minorHAnsi"/>
                <w:szCs w:val="21"/>
                <w:vertAlign w:val="baseline"/>
                <w:lang w:eastAsia="zh-Hans"/>
              </w:rPr>
              <w:t>单细胞测序实验设计及讨论。</w:t>
            </w:r>
          </w:p>
        </w:tc>
      </w:tr>
      <w:tr>
        <w:tc>
          <w:tcPr>
            <w:tcW w:w="1094" w:type="pct"/>
            <w:vAlign w:val="top"/>
          </w:tcPr>
          <w:p>
            <w:pPr>
              <w:numPr>
                <w:ilvl w:val="0"/>
                <w:numId w:val="0"/>
              </w:numPr>
              <w:spacing w:line="360" w:lineRule="auto"/>
              <w:ind w:left="0" w:leftChars="0" w:firstLine="0" w:firstLineChars="0"/>
              <w:jc w:val="center"/>
              <w:rPr>
                <w:rFonts w:hint="eastAsia" w:eastAsia="宋体" w:cs="Calibri" w:asciiTheme="minorHAnsi" w:hAnsiTheme="minorHAnsi"/>
                <w:szCs w:val="21"/>
                <w:vertAlign w:val="baseline"/>
                <w:lang w:eastAsia="zh-CN"/>
              </w:rPr>
            </w:pPr>
            <w:r>
              <w:rPr>
                <w:rFonts w:hint="eastAsia" w:cs="Calibri" w:asciiTheme="minorHAnsi" w:hAnsiTheme="minorHAnsi"/>
                <w:szCs w:val="21"/>
                <w:vertAlign w:val="baseline"/>
                <w:lang w:val="en-US" w:eastAsia="zh-Hans"/>
              </w:rPr>
              <w:t>周</w:t>
            </w:r>
            <w:r>
              <w:rPr>
                <w:rFonts w:hint="eastAsia" w:cs="Calibri" w:asciiTheme="minorHAnsi" w:hAnsiTheme="minorHAnsi"/>
                <w:szCs w:val="21"/>
                <w:vertAlign w:val="baseline"/>
                <w:lang w:val="en-US" w:eastAsia="zh-CN"/>
              </w:rPr>
              <w:t>四</w:t>
            </w:r>
          </w:p>
        </w:tc>
        <w:tc>
          <w:tcPr>
            <w:tcW w:w="3905" w:type="pct"/>
          </w:tcPr>
          <w:p>
            <w:pPr>
              <w:numPr>
                <w:ilvl w:val="0"/>
                <w:numId w:val="11"/>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癌症免疫疗法（一）：抗体疗法</w:t>
            </w:r>
          </w:p>
          <w:p>
            <w:pPr>
              <w:numPr>
                <w:ilvl w:val="0"/>
                <w:numId w:val="12"/>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抗体技术的应用。</w:t>
            </w:r>
          </w:p>
          <w:p>
            <w:pPr>
              <w:numPr>
                <w:ilvl w:val="0"/>
                <w:numId w:val="12"/>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使用抗体的癌症免疫疗法。</w:t>
            </w:r>
          </w:p>
          <w:p>
            <w:pPr>
              <w:numPr>
                <w:ilvl w:val="0"/>
                <w:numId w:val="13"/>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癌症免疫疗法（二）：细胞治疗</w:t>
            </w:r>
          </w:p>
          <w:p>
            <w:pPr>
              <w:numPr>
                <w:ilvl w:val="0"/>
                <w:numId w:val="12"/>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NK细胞疗法。</w:t>
            </w:r>
          </w:p>
          <w:p>
            <w:pPr>
              <w:numPr>
                <w:ilvl w:val="0"/>
                <w:numId w:val="12"/>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肿瘤浸润淋巴细胞疗法。</w:t>
            </w:r>
          </w:p>
          <w:p>
            <w:pPr>
              <w:numPr>
                <w:ilvl w:val="0"/>
                <w:numId w:val="12"/>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TCR疗法。</w:t>
            </w:r>
          </w:p>
          <w:p>
            <w:pPr>
              <w:numPr>
                <w:ilvl w:val="0"/>
                <w:numId w:val="12"/>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CAR-T细胞疗法。</w:t>
            </w:r>
          </w:p>
          <w:p>
            <w:pPr>
              <w:numPr>
                <w:ilvl w:val="0"/>
                <w:numId w:val="12"/>
              </w:numPr>
              <w:spacing w:line="360" w:lineRule="auto"/>
              <w:ind w:left="420" w:leftChars="0" w:hanging="420" w:firstLineChars="0"/>
              <w:rPr>
                <w:rFonts w:hint="default" w:asciiTheme="minorHAnsi" w:hAnsiTheme="minorHAnsi"/>
                <w:szCs w:val="21"/>
                <w:vertAlign w:val="baseline"/>
                <w:lang w:eastAsia="zh-Hans"/>
              </w:rPr>
            </w:pPr>
            <w:r>
              <w:rPr>
                <w:rFonts w:hint="default" w:asciiTheme="minorHAnsi" w:hAnsiTheme="minorHAnsi"/>
                <w:szCs w:val="21"/>
                <w:vertAlign w:val="baseline"/>
                <w:lang w:eastAsia="zh-Hans"/>
              </w:rPr>
              <w:t>癌症疫苗的应用。</w:t>
            </w:r>
          </w:p>
        </w:tc>
      </w:tr>
      <w:tr>
        <w:tc>
          <w:tcPr>
            <w:tcW w:w="1094" w:type="pct"/>
            <w:vAlign w:val="top"/>
          </w:tcPr>
          <w:p>
            <w:pPr>
              <w:numPr>
                <w:ilvl w:val="0"/>
                <w:numId w:val="0"/>
              </w:numPr>
              <w:spacing w:line="360" w:lineRule="auto"/>
              <w:ind w:left="0" w:leftChars="0" w:firstLine="0" w:firstLineChars="0"/>
              <w:jc w:val="center"/>
              <w:rPr>
                <w:rFonts w:hint="eastAsia" w:eastAsia="宋体" w:cs="Calibri" w:asciiTheme="minorHAnsi" w:hAnsiTheme="minorHAnsi"/>
                <w:szCs w:val="21"/>
                <w:vertAlign w:val="baseline"/>
                <w:lang w:val="en-US" w:eastAsia="zh-CN"/>
              </w:rPr>
            </w:pPr>
            <w:r>
              <w:rPr>
                <w:rFonts w:hint="eastAsia" w:cs="Calibri" w:asciiTheme="minorHAnsi" w:hAnsiTheme="minorHAnsi"/>
                <w:szCs w:val="21"/>
                <w:vertAlign w:val="baseline"/>
                <w:lang w:val="en-US" w:eastAsia="zh-Hans"/>
              </w:rPr>
              <w:t>周</w:t>
            </w:r>
            <w:r>
              <w:rPr>
                <w:rFonts w:hint="eastAsia" w:cs="Calibri" w:asciiTheme="minorHAnsi" w:hAnsiTheme="minorHAnsi"/>
                <w:szCs w:val="21"/>
                <w:vertAlign w:val="baseline"/>
                <w:lang w:val="en-US" w:eastAsia="zh-CN"/>
              </w:rPr>
              <w:t>五</w:t>
            </w:r>
          </w:p>
        </w:tc>
        <w:tc>
          <w:tcPr>
            <w:tcW w:w="3905" w:type="pct"/>
          </w:tcPr>
          <w:p>
            <w:pPr>
              <w:numPr>
                <w:ilvl w:val="0"/>
                <w:numId w:val="3"/>
              </w:numPr>
              <w:spacing w:line="360" w:lineRule="auto"/>
              <w:ind w:left="420" w:leftChars="0" w:hanging="420" w:firstLineChars="0"/>
              <w:rPr>
                <w:rFonts w:hint="default" w:cs="Calibri" w:asciiTheme="minorHAnsi" w:hAnsiTheme="minorHAnsi"/>
                <w:szCs w:val="21"/>
                <w:vertAlign w:val="baseline"/>
                <w:lang w:eastAsia="zh-Hans"/>
              </w:rPr>
            </w:pPr>
            <w:r>
              <w:rPr>
                <w:rFonts w:hint="eastAsia" w:cs="Calibri" w:asciiTheme="minorHAnsi" w:hAnsiTheme="minorHAnsi"/>
                <w:szCs w:val="21"/>
                <w:vertAlign w:val="baseline"/>
                <w:lang w:val="en-US" w:eastAsia="zh-CN"/>
              </w:rPr>
              <w:t>学生小组</w:t>
            </w:r>
            <w:r>
              <w:rPr>
                <w:rFonts w:hint="default" w:cs="Calibri" w:asciiTheme="minorHAnsi" w:hAnsiTheme="minorHAnsi"/>
                <w:szCs w:val="21"/>
                <w:vertAlign w:val="baseline"/>
                <w:lang w:eastAsia="zh-Hans"/>
              </w:rPr>
              <w:t>项目展示</w:t>
            </w:r>
          </w:p>
        </w:tc>
      </w:tr>
      <w:tr>
        <w:tc>
          <w:tcPr>
            <w:tcW w:w="1094" w:type="pct"/>
            <w:vAlign w:val="top"/>
          </w:tcPr>
          <w:p>
            <w:pPr>
              <w:numPr>
                <w:ilvl w:val="0"/>
                <w:numId w:val="0"/>
              </w:numPr>
              <w:spacing w:line="360" w:lineRule="auto"/>
              <w:ind w:left="0" w:leftChars="0" w:firstLine="0" w:firstLineChars="0"/>
              <w:jc w:val="center"/>
              <w:rPr>
                <w:rFonts w:hint="eastAsia" w:eastAsia="宋体" w:cs="Calibri" w:asciiTheme="minorHAnsi" w:hAnsiTheme="minorHAnsi"/>
                <w:szCs w:val="21"/>
                <w:vertAlign w:val="baseline"/>
                <w:lang w:val="en-US" w:eastAsia="zh-CN"/>
              </w:rPr>
            </w:pPr>
            <w:r>
              <w:rPr>
                <w:rFonts w:hint="eastAsia" w:cs="Calibri" w:asciiTheme="minorHAnsi" w:hAnsiTheme="minorHAnsi"/>
                <w:szCs w:val="21"/>
                <w:vertAlign w:val="baseline"/>
                <w:lang w:val="en-US" w:eastAsia="zh-Hans"/>
              </w:rPr>
              <w:t>周</w:t>
            </w:r>
            <w:r>
              <w:rPr>
                <w:rFonts w:hint="eastAsia" w:cs="Calibri" w:asciiTheme="minorHAnsi" w:hAnsiTheme="minorHAnsi"/>
                <w:szCs w:val="21"/>
                <w:vertAlign w:val="baseline"/>
                <w:lang w:val="en-US" w:eastAsia="zh-CN"/>
              </w:rPr>
              <w:t>六</w:t>
            </w:r>
          </w:p>
        </w:tc>
        <w:tc>
          <w:tcPr>
            <w:tcW w:w="3905" w:type="pct"/>
          </w:tcPr>
          <w:p>
            <w:pPr>
              <w:numPr>
                <w:ilvl w:val="0"/>
                <w:numId w:val="14"/>
              </w:numPr>
              <w:spacing w:line="360" w:lineRule="auto"/>
              <w:ind w:left="420" w:leftChars="0" w:hanging="420" w:firstLineChars="0"/>
              <w:rPr>
                <w:rFonts w:hint="default" w:cs="Calibri" w:asciiTheme="minorHAnsi" w:hAnsiTheme="minorHAnsi"/>
                <w:szCs w:val="21"/>
                <w:lang w:eastAsia="zh-Hans"/>
              </w:rPr>
            </w:pPr>
            <w:r>
              <w:rPr>
                <w:rFonts w:hint="eastAsia" w:cs="Calibri" w:asciiTheme="minorHAnsi" w:hAnsiTheme="minorHAnsi"/>
                <w:szCs w:val="21"/>
                <w:lang w:val="en-US" w:eastAsia="zh-Hans"/>
              </w:rPr>
              <w:t>送往机场</w:t>
            </w:r>
            <w:r>
              <w:rPr>
                <w:rFonts w:hint="default" w:cs="Calibri" w:asciiTheme="minorHAnsi" w:hAnsiTheme="minorHAnsi"/>
                <w:szCs w:val="21"/>
                <w:lang w:eastAsia="zh-Hans"/>
              </w:rPr>
              <w:t>，</w:t>
            </w:r>
            <w:r>
              <w:rPr>
                <w:rFonts w:hint="eastAsia" w:cs="Calibri" w:asciiTheme="minorHAnsi" w:hAnsiTheme="minorHAnsi"/>
                <w:szCs w:val="21"/>
                <w:lang w:val="en-US" w:eastAsia="zh-Hans"/>
              </w:rPr>
              <w:t>返回国内</w:t>
            </w:r>
          </w:p>
        </w:tc>
      </w:tr>
    </w:tbl>
    <w:p>
      <w:pPr>
        <w:spacing w:line="360" w:lineRule="auto"/>
        <w:rPr>
          <w:rFonts w:cs="Calibri" w:asciiTheme="minorHAnsi" w:hAnsiTheme="minorHAnsi"/>
          <w:szCs w:val="21"/>
        </w:rPr>
      </w:pP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w:t>
      </w:r>
      <w:r>
        <w:rPr>
          <w:rFonts w:hint="eastAsia" w:asciiTheme="minorHAnsi" w:hAnsiTheme="minorHAnsi" w:eastAsiaTheme="majorEastAsia" w:cstheme="minorHAnsi"/>
          <w:szCs w:val="21"/>
          <w:lang w:val="en-US" w:eastAsia="zh-CN"/>
        </w:rPr>
        <w:t>新加坡国立大学寒假</w:t>
      </w:r>
      <w:r>
        <w:rPr>
          <w:rFonts w:hint="eastAsia" w:asciiTheme="minorHAnsi" w:hAnsiTheme="minorHAnsi" w:eastAsiaTheme="majorEastAsia" w:cstheme="minorHAnsi"/>
          <w:szCs w:val="21"/>
          <w:lang w:val="en-US" w:eastAsia="zh-Hans"/>
        </w:rPr>
        <w:t>访学</w:t>
      </w:r>
      <w:r>
        <w:rPr>
          <w:rFonts w:hint="eastAsia" w:asciiTheme="minorHAnsi" w:hAnsiTheme="minorHAnsi" w:eastAsiaTheme="majorEastAsia" w:cstheme="minorHAnsi"/>
          <w:szCs w:val="21"/>
        </w:rPr>
        <w:t>项目的学生在考勤达标并完成所有课业要求后，</w:t>
      </w:r>
      <w:r>
        <w:rPr>
          <w:rFonts w:hint="eastAsia" w:asciiTheme="minorHAnsi" w:hAnsiTheme="minorHAnsi" w:eastAsiaTheme="majorEastAsia" w:cstheme="minorHAnsi"/>
          <w:kern w:val="0"/>
          <w:szCs w:val="21"/>
        </w:rPr>
        <w:t>可获得新加坡国立大学主办学院开具的结业证书</w:t>
      </w:r>
      <w:r>
        <w:rPr>
          <w:rFonts w:hint="default" w:asciiTheme="minorHAnsi" w:hAnsiTheme="minorHAnsi" w:eastAsiaTheme="majorEastAsia" w:cstheme="minorHAnsi"/>
          <w:kern w:val="0"/>
          <w:szCs w:val="21"/>
        </w:rPr>
        <w:t>和测评报告，</w:t>
      </w:r>
      <w:r>
        <w:rPr>
          <w:rFonts w:hint="eastAsia" w:asciiTheme="minorHAnsi" w:hAnsiTheme="minorHAnsi" w:eastAsiaTheme="majorEastAsia" w:cstheme="minorHAnsi"/>
          <w:szCs w:val="21"/>
          <w:lang w:eastAsia="zh-Hans"/>
        </w:rPr>
        <w:t>同时在</w:t>
      </w:r>
      <w:r>
        <w:rPr>
          <w:rFonts w:hint="eastAsia" w:asciiTheme="minorHAnsi" w:hAnsiTheme="minorHAnsi" w:eastAsiaTheme="majorEastAsia" w:cstheme="minorHAnsi"/>
          <w:szCs w:val="21"/>
        </w:rPr>
        <w:t>项目陈述报告</w:t>
      </w:r>
      <w:r>
        <w:rPr>
          <w:rFonts w:hint="eastAsia" w:asciiTheme="minorHAnsi" w:hAnsiTheme="minorHAnsi" w:eastAsiaTheme="majorEastAsia" w:cstheme="minorHAnsi"/>
          <w:szCs w:val="21"/>
          <w:lang w:eastAsia="zh-Hans"/>
        </w:rPr>
        <w:t>中</w:t>
      </w:r>
      <w:r>
        <w:rPr>
          <w:rFonts w:hint="eastAsia" w:asciiTheme="minorHAnsi" w:hAnsiTheme="minorHAnsi" w:eastAsiaTheme="majorEastAsia" w:cstheme="minorHAnsi"/>
          <w:szCs w:val="21"/>
        </w:rPr>
        <w:t>获胜的小组</w:t>
      </w:r>
      <w:r>
        <w:rPr>
          <w:rFonts w:hint="eastAsia" w:asciiTheme="minorHAnsi" w:hAnsiTheme="minorHAnsi" w:eastAsiaTheme="majorEastAsia" w:cstheme="minorHAnsi"/>
          <w:szCs w:val="21"/>
          <w:lang w:eastAsia="zh-Hans"/>
        </w:rPr>
        <w:t>成员还将额外获得</w:t>
      </w:r>
      <w:r>
        <w:rPr>
          <w:rFonts w:hint="eastAsia" w:asciiTheme="minorHAnsi" w:hAnsiTheme="minorHAnsi" w:eastAsiaTheme="majorEastAsia" w:cstheme="minorHAnsi"/>
          <w:szCs w:val="21"/>
        </w:rPr>
        <w:t>优秀学员证明</w:t>
      </w:r>
      <w:r>
        <w:rPr>
          <w:rFonts w:asciiTheme="minorHAnsi" w:hAnsiTheme="minorHAnsi" w:eastAsiaTheme="majorEastAsia" w:cs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drawing>
          <wp:anchor distT="0" distB="0" distL="114300" distR="114300" simplePos="0" relativeHeight="251660288" behindDoc="1" locked="0" layoutInCell="1" allowOverlap="1">
            <wp:simplePos x="0" y="0"/>
            <wp:positionH relativeFrom="column">
              <wp:posOffset>2835910</wp:posOffset>
            </wp:positionH>
            <wp:positionV relativeFrom="paragraph">
              <wp:posOffset>47625</wp:posOffset>
            </wp:positionV>
            <wp:extent cx="1950085" cy="2491105"/>
            <wp:effectExtent l="0" t="0" r="12065" b="4445"/>
            <wp:wrapTight wrapText="bothSides">
              <wp:wrapPolygon>
                <wp:start x="0" y="0"/>
                <wp:lineTo x="0" y="21473"/>
                <wp:lineTo x="21312" y="21473"/>
                <wp:lineTo x="21312"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950085" cy="2491105"/>
                    </a:xfrm>
                    <a:prstGeom prst="rect">
                      <a:avLst/>
                    </a:prstGeom>
                    <a:noFill/>
                    <a:ln w="9525">
                      <a:noFill/>
                    </a:ln>
                  </pic:spPr>
                </pic:pic>
              </a:graphicData>
            </a:graphic>
          </wp:anchor>
        </w:drawing>
      </w:r>
      <w:r>
        <w:drawing>
          <wp:inline distT="0" distB="0" distL="114300" distR="114300">
            <wp:extent cx="2094865" cy="2555875"/>
            <wp:effectExtent l="0" t="0" r="635" b="158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2094865" cy="2555875"/>
                    </a:xfrm>
                    <a:prstGeom prst="rect">
                      <a:avLst/>
                    </a:prstGeom>
                    <a:noFill/>
                    <a:ln w="9525">
                      <a:noFill/>
                    </a:ln>
                  </pic:spPr>
                </pic:pic>
              </a:graphicData>
            </a:graphic>
          </wp:inline>
        </w:drawing>
      </w: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6782"/>
      </w:tblGrid>
      <w:tr>
        <w:trPr>
          <w:trHeight w:val="457" w:hRule="atLeast"/>
        </w:trPr>
        <w:tc>
          <w:tcPr>
            <w:tcW w:w="197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782" w:type="dxa"/>
          </w:tcPr>
          <w:p>
            <w:pPr>
              <w:spacing w:line="360" w:lineRule="auto"/>
              <w:jc w:val="left"/>
              <w:rPr>
                <w:rFonts w:hint="default" w:asciiTheme="minorHAnsi" w:hAnsiTheme="minorHAnsi" w:eastAsiaTheme="majorEastAsia" w:cstheme="minorHAnsi"/>
                <w:szCs w:val="21"/>
              </w:rPr>
            </w:pPr>
            <w:r>
              <w:rPr>
                <w:rFonts w:hint="default" w:asciiTheme="minorHAnsi" w:hAnsiTheme="minorHAnsi" w:eastAsiaTheme="majorEastAsia" w:cstheme="minorHAnsi"/>
                <w:szCs w:val="21"/>
              </w:rPr>
              <w:t>15</w:t>
            </w:r>
            <w:r>
              <w:rPr>
                <w:rFonts w:hint="eastAsia" w:asciiTheme="minorHAnsi" w:hAnsiTheme="minorHAnsi" w:eastAsiaTheme="majorEastAsia" w:cstheme="minorHAnsi"/>
                <w:szCs w:val="21"/>
                <w:lang w:val="en-US" w:eastAsia="zh-CN"/>
              </w:rPr>
              <w:t>80</w:t>
            </w:r>
            <w:r>
              <w:rPr>
                <w:rFonts w:hint="default" w:asciiTheme="minorHAnsi" w:hAnsiTheme="minorHAnsi" w:eastAsiaTheme="majorEastAsia" w:cstheme="minorHAnsi"/>
                <w:szCs w:val="21"/>
              </w:rPr>
              <w:t>0元/人</w:t>
            </w:r>
          </w:p>
        </w:tc>
      </w:tr>
      <w:tr>
        <w:tc>
          <w:tcPr>
            <w:tcW w:w="197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782" w:type="dxa"/>
          </w:tcPr>
          <w:p>
            <w:pPr>
              <w:spacing w:line="360" w:lineRule="auto"/>
              <w:rPr>
                <w:rFonts w:hint="default" w:asciiTheme="minorHAnsi" w:hAnsiTheme="minorHAnsi" w:eastAsiaTheme="majorEastAsia" w:cstheme="minorHAnsi"/>
                <w:szCs w:val="21"/>
                <w:lang w:eastAsia="zh-Hans"/>
              </w:rPr>
            </w:pPr>
            <w:r>
              <w:rPr>
                <w:rFonts w:hint="eastAsia" w:asciiTheme="minorHAnsi" w:hAnsiTheme="minorHAnsi" w:eastAsiaTheme="majorEastAsia" w:cstheme="minorHAnsi"/>
                <w:szCs w:val="21"/>
              </w:rPr>
              <w:t>课程学费</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val="en-US" w:eastAsia="zh-Hans"/>
              </w:rPr>
              <w:t>文化参访费用</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eastAsia="zh-Hans"/>
              </w:rPr>
              <w:t>项目</w:t>
            </w:r>
            <w:r>
              <w:rPr>
                <w:rFonts w:hint="eastAsia" w:asciiTheme="minorHAnsi" w:hAnsiTheme="minorHAnsi" w:eastAsiaTheme="majorEastAsia" w:cstheme="minorHAnsi"/>
                <w:szCs w:val="21"/>
              </w:rPr>
              <w:t>证书</w:t>
            </w:r>
            <w:r>
              <w:rPr>
                <w:rFonts w:asciiTheme="minorHAnsi" w:hAnsiTheme="minorHAnsi" w:eastAsiaTheme="majorEastAsia" w:cstheme="minorHAnsi"/>
                <w:szCs w:val="21"/>
              </w:rPr>
              <w:t>&amp;</w:t>
            </w:r>
            <w:r>
              <w:rPr>
                <w:rFonts w:hint="eastAsia" w:asciiTheme="minorHAnsi" w:hAnsiTheme="minorHAnsi" w:eastAsiaTheme="majorEastAsia" w:cstheme="minorHAnsi"/>
                <w:szCs w:val="21"/>
                <w:lang w:eastAsia="zh-Hans"/>
              </w:rPr>
              <w:t>成绩</w:t>
            </w:r>
            <w:r>
              <w:rPr>
                <w:rFonts w:hint="eastAsia" w:asciiTheme="minorHAnsi" w:hAnsiTheme="minorHAnsi" w:eastAsiaTheme="majorEastAsia" w:cstheme="minorHAnsi"/>
                <w:szCs w:val="21"/>
              </w:rPr>
              <w:t>测评报告</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lang w:val="en-US" w:eastAsia="zh-Hans"/>
              </w:rPr>
              <w:t>海外</w:t>
            </w:r>
            <w:r>
              <w:rPr>
                <w:rFonts w:hint="default" w:asciiTheme="minorHAnsi" w:hAnsiTheme="minorHAnsi" w:eastAsiaTheme="majorEastAsia" w:cstheme="minorHAnsi"/>
                <w:szCs w:val="21"/>
                <w:lang w:eastAsia="zh-Hans"/>
              </w:rPr>
              <w:t>旅行意外</w:t>
            </w:r>
            <w:r>
              <w:rPr>
                <w:rFonts w:hint="eastAsia" w:asciiTheme="minorHAnsi" w:hAnsiTheme="minorHAnsi" w:eastAsiaTheme="majorEastAsia" w:cstheme="minorHAnsi"/>
                <w:szCs w:val="21"/>
                <w:lang w:val="en-US" w:eastAsia="zh-Hans"/>
              </w:rPr>
              <w:t>保险</w:t>
            </w:r>
            <w:r>
              <w:rPr>
                <w:rFonts w:hint="default" w:asciiTheme="minorHAnsi" w:hAnsiTheme="minorHAnsi" w:eastAsiaTheme="majorEastAsia" w:cstheme="minorHAnsi"/>
                <w:szCs w:val="21"/>
                <w:lang w:eastAsia="zh-Hans"/>
              </w:rPr>
              <w:t>、</w:t>
            </w:r>
            <w:r>
              <w:rPr>
                <w:rFonts w:hint="eastAsia" w:asciiTheme="minorHAnsi" w:hAnsiTheme="minorHAnsi" w:eastAsiaTheme="majorEastAsia" w:cstheme="minorHAnsi"/>
                <w:szCs w:val="21"/>
                <w:lang w:val="en-US" w:eastAsia="zh-Hans"/>
              </w:rPr>
              <w:t>接送机</w:t>
            </w:r>
            <w:r>
              <w:rPr>
                <w:rFonts w:hint="default" w:asciiTheme="minorHAnsi" w:hAnsiTheme="minorHAnsi" w:eastAsiaTheme="majorEastAsia" w:cstheme="minorHAnsi"/>
                <w:szCs w:val="21"/>
                <w:lang w:eastAsia="zh-Hans"/>
              </w:rPr>
              <w:t>、上课大巴接车、住宿</w:t>
            </w:r>
          </w:p>
        </w:tc>
      </w:tr>
      <w:tr>
        <w:tc>
          <w:tcPr>
            <w:tcW w:w="1977" w:type="dxa"/>
          </w:tcPr>
          <w:p>
            <w:pPr>
              <w:spacing w:line="360" w:lineRule="auto"/>
              <w:rPr>
                <w:rFonts w:hint="default" w:asciiTheme="minorHAnsi" w:hAnsiTheme="minorHAnsi" w:eastAsiaTheme="majorEastAsia" w:cstheme="minorHAnsi"/>
                <w:szCs w:val="21"/>
                <w:lang w:val="en-US" w:eastAsia="zh-Hans"/>
              </w:rPr>
            </w:pPr>
            <w:r>
              <w:rPr>
                <w:rFonts w:hint="eastAsia" w:asciiTheme="minorHAnsi" w:hAnsiTheme="minorHAnsi" w:eastAsiaTheme="majorEastAsia" w:cstheme="minorHAnsi"/>
                <w:szCs w:val="21"/>
                <w:lang w:val="en-US" w:eastAsia="zh-Hans"/>
              </w:rPr>
              <w:t>费用不包括</w:t>
            </w:r>
          </w:p>
        </w:tc>
        <w:tc>
          <w:tcPr>
            <w:tcW w:w="6782" w:type="dxa"/>
          </w:tcPr>
          <w:p>
            <w:pPr>
              <w:spacing w:line="360" w:lineRule="auto"/>
              <w:rPr>
                <w:rFonts w:hint="default" w:asciiTheme="minorHAnsi" w:hAnsiTheme="minorHAnsi" w:eastAsiaTheme="majorEastAsia" w:cstheme="minorHAnsi"/>
                <w:szCs w:val="21"/>
                <w:lang w:val="en-US" w:eastAsia="zh-Hans"/>
              </w:rPr>
            </w:pPr>
            <w:r>
              <w:rPr>
                <w:rFonts w:hint="eastAsia" w:asciiTheme="minorHAnsi" w:hAnsiTheme="minorHAnsi" w:eastAsiaTheme="majorEastAsia" w:cstheme="minorHAnsi"/>
                <w:szCs w:val="21"/>
                <w:lang w:val="en-US" w:eastAsia="zh-Hans"/>
              </w:rPr>
              <w:t>往返</w:t>
            </w:r>
            <w:r>
              <w:rPr>
                <w:rFonts w:hint="default" w:asciiTheme="minorHAnsi" w:hAnsiTheme="minorHAnsi" w:eastAsiaTheme="majorEastAsia" w:cstheme="minorHAnsi"/>
                <w:szCs w:val="21"/>
                <w:lang w:eastAsia="zh-Hans"/>
              </w:rPr>
              <w:t>机票、</w:t>
            </w:r>
            <w:r>
              <w:rPr>
                <w:rFonts w:hint="eastAsia" w:asciiTheme="minorHAnsi" w:hAnsiTheme="minorHAnsi" w:eastAsiaTheme="majorEastAsia" w:cstheme="minorHAnsi"/>
                <w:szCs w:val="21"/>
                <w:lang w:val="en-US" w:eastAsia="zh-Hans"/>
              </w:rPr>
              <w:t>餐食及其他个人消费</w:t>
            </w:r>
          </w:p>
        </w:tc>
      </w:tr>
    </w:tbl>
    <w:p>
      <w:pPr>
        <w:spacing w:line="360" w:lineRule="auto"/>
        <w:rPr>
          <w:rFonts w:asciiTheme="minorHAnsi" w:hAnsiTheme="minorHAnsi" w:eastAsiaTheme="majorEastAsia" w:cstheme="minorHAnsi"/>
          <w:b/>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四</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9"/>
        <w:numPr>
          <w:ilvl w:val="0"/>
          <w:numId w:val="15"/>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pPr>
        <w:widowControl/>
        <w:spacing w:line="360" w:lineRule="auto"/>
        <w:ind w:firstLine="420"/>
        <w:jc w:val="left"/>
        <w:rPr>
          <w:rFonts w:asciiTheme="minorHAnsi" w:hAnsiTheme="minorHAnsi" w:eastAsiaTheme="majorEastAsia" w:cstheme="minorHAnsi"/>
          <w:szCs w:val="21"/>
        </w:rPr>
      </w:pPr>
      <w:r>
        <w:rPr>
          <w:rFonts w:hint="eastAsia" w:ascii="Calibri" w:hAnsi="Calibri" w:cs="Calibri"/>
          <w:szCs w:val="21"/>
        </w:rPr>
        <w:t>新加坡国立大学202</w:t>
      </w:r>
      <w:r>
        <w:rPr>
          <w:rFonts w:hint="eastAsia" w:ascii="Calibri" w:hAnsi="Calibri" w:cs="Calibri"/>
          <w:szCs w:val="21"/>
          <w:lang w:val="en-US" w:eastAsia="zh-CN"/>
        </w:rPr>
        <w:t>6寒假</w:t>
      </w:r>
      <w:r>
        <w:rPr>
          <w:rFonts w:hint="eastAsia" w:ascii="Calibri" w:hAnsi="Calibri" w:cs="Calibri"/>
          <w:szCs w:val="21"/>
          <w:lang w:eastAsia="zh-Hans"/>
        </w:rPr>
        <w:t>“微生物组与癌症免疫疗法”</w:t>
      </w:r>
      <w:r>
        <w:rPr>
          <w:rFonts w:hint="eastAsia" w:ascii="Calibri" w:hAnsi="Calibri" w:cs="Calibri"/>
          <w:szCs w:val="21"/>
        </w:rPr>
        <w:t>访学项目选拔名额为</w:t>
      </w:r>
      <w:r>
        <w:rPr>
          <w:rFonts w:ascii="Calibri" w:hAnsi="Calibri" w:cs="Calibri"/>
          <w:szCs w:val="21"/>
        </w:rPr>
        <w:t>4</w:t>
      </w:r>
      <w:r>
        <w:rPr>
          <w:rFonts w:hint="default" w:ascii="Calibri" w:hAnsi="Calibri" w:cs="Calibri"/>
          <w:szCs w:val="21"/>
        </w:rPr>
        <w:t>0</w:t>
      </w:r>
      <w:r>
        <w:rPr>
          <w:rFonts w:hint="eastAsia" w:ascii="Calibri" w:hAnsi="Calibri" w:cs="Calibri"/>
          <w:szCs w:val="21"/>
        </w:rPr>
        <w:t>名</w:t>
      </w:r>
    </w:p>
    <w:p>
      <w:pPr>
        <w:pStyle w:val="19"/>
        <w:widowControl/>
        <w:numPr>
          <w:ilvl w:val="0"/>
          <w:numId w:val="15"/>
        </w:numPr>
        <w:spacing w:line="360" w:lineRule="auto"/>
        <w:ind w:firstLineChars="0"/>
        <w:jc w:val="left"/>
        <w:rPr>
          <w:rFonts w:cs="Calibri" w:asciiTheme="minorHAnsi" w:hAnsiTheme="minorHAnsi"/>
          <w:szCs w:val="21"/>
        </w:rPr>
      </w:pPr>
      <w:r>
        <w:rPr>
          <w:rFonts w:hint="default" w:asciiTheme="minorHAnsi" w:hAnsiTheme="minorHAnsi" w:eastAsiaTheme="majorEastAsia" w:cstheme="minorHAnsi"/>
          <w:b/>
          <w:kern w:val="0"/>
          <w:szCs w:val="21"/>
          <w:lang w:eastAsia="zh-Hans"/>
        </w:rPr>
        <w:t>项目报名</w:t>
      </w:r>
      <w:r>
        <w:rPr>
          <w:rFonts w:asciiTheme="minorHAnsi" w:hAnsiTheme="minorHAnsi" w:eastAsiaTheme="majorEastAsia" w:cstheme="minorHAnsi"/>
          <w:b/>
          <w:kern w:val="0"/>
          <w:szCs w:val="21"/>
        </w:rPr>
        <w:t>截止日期：</w:t>
      </w:r>
      <w:r>
        <w:rPr>
          <w:rFonts w:hint="eastAsia" w:ascii="Calibri" w:hAnsi="Calibri" w:eastAsia="宋体" w:cs="Calibri"/>
          <w:kern w:val="2"/>
          <w:sz w:val="21"/>
          <w:szCs w:val="21"/>
          <w:lang w:val="en-US" w:eastAsia="zh-CN" w:bidi="ar-SA"/>
        </w:rPr>
        <w:t>202</w:t>
      </w:r>
      <w:r>
        <w:rPr>
          <w:rFonts w:hint="eastAsia" w:ascii="Calibri" w:hAnsi="Calibri" w:cs="Calibri"/>
          <w:kern w:val="2"/>
          <w:sz w:val="21"/>
          <w:szCs w:val="21"/>
          <w:lang w:val="en-US" w:eastAsia="zh-CN" w:bidi="ar-SA"/>
        </w:rPr>
        <w:t>5</w:t>
      </w:r>
      <w:r>
        <w:rPr>
          <w:rFonts w:hint="eastAsia" w:ascii="Calibri" w:hAnsi="Calibri" w:eastAsia="宋体" w:cs="Calibri"/>
          <w:kern w:val="2"/>
          <w:sz w:val="21"/>
          <w:szCs w:val="21"/>
          <w:lang w:val="en-US" w:eastAsia="zh-CN" w:bidi="ar-SA"/>
        </w:rPr>
        <w:t>年</w:t>
      </w:r>
      <w:r>
        <w:rPr>
          <w:rFonts w:hint="default" w:ascii="Calibri" w:hAnsi="Calibri" w:cs="Calibri"/>
          <w:kern w:val="2"/>
          <w:sz w:val="21"/>
          <w:szCs w:val="21"/>
          <w:lang w:eastAsia="zh-CN" w:bidi="ar-SA"/>
        </w:rPr>
        <w:t>11</w:t>
      </w:r>
      <w:r>
        <w:rPr>
          <w:rFonts w:hint="eastAsia" w:ascii="Calibri" w:hAnsi="Calibri" w:eastAsia="宋体" w:cs="Calibri"/>
          <w:kern w:val="2"/>
          <w:sz w:val="21"/>
          <w:szCs w:val="21"/>
          <w:lang w:val="en-US" w:eastAsia="zh-CN" w:bidi="ar-SA"/>
        </w:rPr>
        <w:t>月</w:t>
      </w:r>
      <w:r>
        <w:rPr>
          <w:rFonts w:hint="default" w:ascii="Calibri" w:hAnsi="Calibri" w:cs="Calibri"/>
          <w:kern w:val="2"/>
          <w:sz w:val="21"/>
          <w:szCs w:val="21"/>
          <w:lang w:eastAsia="zh-CN" w:bidi="ar-SA"/>
        </w:rPr>
        <w:t>30</w:t>
      </w:r>
      <w:r>
        <w:rPr>
          <w:rFonts w:hint="eastAsia" w:ascii="Calibri" w:hAnsi="Calibri" w:eastAsia="宋体" w:cs="Calibri"/>
          <w:kern w:val="2"/>
          <w:sz w:val="21"/>
          <w:szCs w:val="21"/>
          <w:lang w:val="en-US" w:eastAsia="zh-CN" w:bidi="ar-SA"/>
        </w:rPr>
        <w:t>日</w:t>
      </w:r>
    </w:p>
    <w:p>
      <w:pPr>
        <w:pStyle w:val="19"/>
        <w:widowControl/>
        <w:numPr>
          <w:ilvl w:val="0"/>
          <w:numId w:val="1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pPr>
        <w:pStyle w:val="19"/>
        <w:numPr>
          <w:ilvl w:val="0"/>
          <w:numId w:val="16"/>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全日制本科生及</w:t>
      </w:r>
      <w:r>
        <w:rPr>
          <w:rFonts w:hint="default" w:asciiTheme="minorHAnsi" w:hAnsiTheme="minorHAnsi" w:eastAsiaTheme="majorEastAsia" w:cstheme="minorHAnsi"/>
          <w:szCs w:val="21"/>
        </w:rPr>
        <w:t>研究生，</w:t>
      </w:r>
      <w:r>
        <w:rPr>
          <w:rFonts w:hint="eastAsia" w:asciiTheme="minorHAnsi" w:hAnsiTheme="minorHAnsi" w:eastAsiaTheme="majorEastAsia" w:cstheme="minorHAnsi"/>
          <w:szCs w:val="21"/>
        </w:rPr>
        <w:t>成绩优异、道德品质好，在校期间未受过纪律处分，身心健康，能顺利完成学习任务；</w:t>
      </w:r>
    </w:p>
    <w:p>
      <w:pPr>
        <w:pStyle w:val="19"/>
        <w:numPr>
          <w:ilvl w:val="0"/>
          <w:numId w:val="1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年龄：学生开课时需已满18岁</w:t>
      </w:r>
    </w:p>
    <w:p>
      <w:pPr>
        <w:pStyle w:val="19"/>
        <w:numPr>
          <w:ilvl w:val="0"/>
          <w:numId w:val="1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申请要求: 具有良好的读写与沟通能力，需通过英语四级或</w:t>
      </w:r>
      <w:r>
        <w:rPr>
          <w:rFonts w:hint="eastAsia" w:asciiTheme="minorHAnsi" w:hAnsiTheme="minorHAnsi" w:eastAsiaTheme="majorEastAsia" w:cstheme="minorHAnsi"/>
          <w:szCs w:val="21"/>
          <w:lang w:val="en-US" w:eastAsia="zh-Hans"/>
        </w:rPr>
        <w:t>项目方英文</w:t>
      </w:r>
      <w:r>
        <w:rPr>
          <w:rFonts w:hint="eastAsia" w:asciiTheme="minorHAnsi" w:hAnsiTheme="minorHAnsi" w:eastAsiaTheme="majorEastAsia" w:cstheme="minorHAnsi"/>
          <w:szCs w:val="21"/>
        </w:rPr>
        <w:t>面试；</w:t>
      </w:r>
    </w:p>
    <w:p>
      <w:pPr>
        <w:pStyle w:val="19"/>
        <w:numPr>
          <w:ilvl w:val="0"/>
          <w:numId w:val="1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家庭具有一定经济基础，能够提供访学所需学杂费；</w:t>
      </w:r>
    </w:p>
    <w:p>
      <w:pPr>
        <w:pStyle w:val="19"/>
        <w:spacing w:line="360" w:lineRule="auto"/>
        <w:ind w:firstLine="0" w:firstLineChars="0"/>
        <w:rPr>
          <w:rFonts w:cs="Calibri" w:asciiTheme="minorHAnsi" w:hAnsiTheme="minorHAnsi"/>
          <w:b/>
          <w:szCs w:val="21"/>
        </w:rPr>
      </w:pPr>
      <w:r>
        <w:rPr>
          <w:rFonts w:asciiTheme="minorHAnsi" w:hAnsiTheme="minorHAnsi" w:eastAsiaTheme="majorEastAsia" w:cstheme="minorHAnsi"/>
          <w:b/>
          <w:kern w:val="0"/>
          <w:szCs w:val="21"/>
        </w:rPr>
        <w:t>4、 项目申请录取方式和报名流程</w:t>
      </w:r>
    </w:p>
    <w:p>
      <w:pPr>
        <w:pStyle w:val="19"/>
        <w:numPr>
          <w:ilvl w:val="0"/>
          <w:numId w:val="17"/>
        </w:numPr>
        <w:spacing w:line="360" w:lineRule="auto"/>
        <w:ind w:firstLineChars="0"/>
        <w:rPr>
          <w:rFonts w:ascii="宋体" w:hAnsi="宋体" w:cs="宋体"/>
          <w:kern w:val="0"/>
          <w:szCs w:val="21"/>
        </w:rPr>
      </w:pPr>
      <w:r>
        <w:rPr>
          <w:rFonts w:asciiTheme="minorHAnsi" w:hAnsiTheme="minorHAnsi" w:eastAsiaTheme="majorEastAsia" w:cstheme="minorHAnsi"/>
          <w:kern w:val="0"/>
          <w:szCs w:val="21"/>
        </w:rPr>
        <w:t>学生本人提出申请，在学校国际合作交流处（外事处）报名；</w:t>
      </w:r>
    </w:p>
    <w:p>
      <w:pPr>
        <w:pStyle w:val="20"/>
        <w:numPr>
          <w:ilvl w:val="0"/>
          <w:numId w:val="17"/>
        </w:numPr>
        <w:spacing w:line="360" w:lineRule="auto"/>
        <w:ind w:firstLineChars="0"/>
        <w:jc w:val="both"/>
        <w:rPr>
          <w:rFonts w:ascii="宋体" w:hAnsi="宋体" w:cs="宋体"/>
          <w:kern w:val="0"/>
          <w:szCs w:val="21"/>
        </w:rPr>
      </w:pPr>
      <w:r>
        <w:rPr>
          <w:rFonts w:hint="eastAsia" w:ascii="宋体" w:hAnsi="宋体" w:eastAsia="宋体" w:cs="宋体"/>
          <w:kern w:val="2"/>
          <w:sz w:val="21"/>
          <w:szCs w:val="21"/>
          <w:lang w:val="en-US" w:eastAsia="zh-CN" w:bidi="ar"/>
        </w:rPr>
        <w:t>学生需通过</w:t>
      </w:r>
      <w:r>
        <w:rPr>
          <w:rFonts w:hint="eastAsia" w:ascii="宋体" w:hAnsi="宋体" w:eastAsia="宋体" w:cs="宋体"/>
          <w:kern w:val="2"/>
          <w:sz w:val="21"/>
          <w:szCs w:val="21"/>
          <w:lang w:val="en-US" w:eastAsia="zh-CN" w:bidi="ar"/>
        </w:rPr>
        <w:fldChar w:fldCharType="begin"/>
      </w:r>
      <w:r>
        <w:rPr>
          <w:rFonts w:hint="eastAsia" w:ascii="宋体" w:hAnsi="宋体" w:eastAsia="宋体" w:cs="宋体"/>
          <w:kern w:val="2"/>
          <w:sz w:val="21"/>
          <w:szCs w:val="21"/>
          <w:lang w:val="en-US" w:eastAsia="zh-CN" w:bidi="ar"/>
        </w:rPr>
        <w:instrText xml:space="preserve"> HYPERLINK "https://kaoshi.wjx.top/vm/QApS3Gw.aspx#" </w:instrText>
      </w:r>
      <w:r>
        <w:rPr>
          <w:rFonts w:hint="eastAsia" w:ascii="宋体" w:hAnsi="宋体" w:eastAsia="宋体" w:cs="宋体"/>
          <w:kern w:val="2"/>
          <w:sz w:val="21"/>
          <w:szCs w:val="21"/>
          <w:lang w:val="en-US" w:eastAsia="zh-CN" w:bidi="ar"/>
        </w:rPr>
        <w:fldChar w:fldCharType="separate"/>
      </w:r>
      <w:r>
        <w:rPr>
          <w:rStyle w:val="15"/>
          <w:rFonts w:hint="eastAsia" w:ascii="宋体" w:hAnsi="宋体" w:eastAsia="宋体" w:cs="宋体"/>
          <w:kern w:val="2"/>
          <w:sz w:val="21"/>
          <w:szCs w:val="21"/>
          <w:lang w:val="en-US" w:eastAsia="zh-CN" w:bidi="ar"/>
        </w:rPr>
        <w:t>https://kaoshi.wjx.top/vm/QApS3Gw.aspx#</w:t>
      </w:r>
      <w:r>
        <w:rPr>
          <w:rFonts w:hint="eastAsia" w:ascii="宋体" w:hAnsi="宋体" w:eastAsia="宋体" w:cs="宋体"/>
          <w:kern w:val="2"/>
          <w:sz w:val="21"/>
          <w:szCs w:val="21"/>
          <w:lang w:val="en-US" w:eastAsia="zh-CN" w:bidi="ar"/>
        </w:rPr>
        <w:fldChar w:fldCharType="end"/>
      </w:r>
      <w:r>
        <w:rPr>
          <w:rFonts w:hint="eastAsia" w:ascii="宋体" w:hAnsi="宋体" w:cs="宋体"/>
          <w:kern w:val="2"/>
          <w:sz w:val="21"/>
          <w:szCs w:val="21"/>
          <w:lang w:val="en-US" w:eastAsia="zh-CN" w:bidi="ar"/>
        </w:rPr>
        <w:t xml:space="preserve"> </w:t>
      </w:r>
      <w:r>
        <w:rPr>
          <w:rFonts w:hint="eastAsia" w:ascii="宋体" w:hAnsi="宋体" w:eastAsia="宋体" w:cs="宋体"/>
          <w:kern w:val="2"/>
          <w:sz w:val="21"/>
          <w:szCs w:val="21"/>
          <w:lang w:val="en-US" w:eastAsia="zh-CN" w:bidi="ar"/>
        </w:rPr>
        <w:t>或扫描下方二维码填写《</w:t>
      </w:r>
      <w:r>
        <w:rPr>
          <w:rFonts w:hint="default" w:ascii="Calibri" w:hAnsi="Calibri" w:eastAsia="宋体" w:cs="Calibri"/>
          <w:kern w:val="2"/>
          <w:sz w:val="21"/>
          <w:szCs w:val="21"/>
          <w:lang w:val="en-US" w:eastAsia="zh-CN" w:bidi="ar"/>
        </w:rPr>
        <w:t>202</w:t>
      </w:r>
      <w:r>
        <w:rPr>
          <w:rFonts w:hint="eastAsia" w:ascii="Calibri" w:hAnsi="Calibri" w:cs="Calibri"/>
          <w:kern w:val="2"/>
          <w:sz w:val="21"/>
          <w:szCs w:val="21"/>
          <w:lang w:val="en-US" w:eastAsia="zh-CN" w:bidi="ar"/>
        </w:rPr>
        <w:t>6冬春</w:t>
      </w:r>
      <w:r>
        <w:rPr>
          <w:rFonts w:hint="eastAsia" w:ascii="宋体" w:hAnsi="宋体" w:eastAsia="宋体" w:cs="宋体"/>
          <w:kern w:val="2"/>
          <w:sz w:val="21"/>
          <w:szCs w:val="21"/>
          <w:lang w:val="en-US" w:eastAsia="zh-CN" w:bidi="ar"/>
        </w:rPr>
        <w:t>世界名校访学项目报名表》，网上报名的时间决定录取的顺序；</w:t>
      </w:r>
    </w:p>
    <w:p>
      <w:pPr>
        <w:pStyle w:val="20"/>
        <w:numPr>
          <w:ilvl w:val="0"/>
          <w:numId w:val="0"/>
        </w:numPr>
        <w:spacing w:line="360" w:lineRule="auto"/>
        <w:jc w:val="left"/>
        <w:rPr>
          <w:rFonts w:ascii="宋体" w:hAnsi="宋体" w:cs="宋体"/>
          <w:kern w:val="0"/>
          <w:szCs w:val="21"/>
        </w:rPr>
      </w:pPr>
      <w:r>
        <w:rPr>
          <w:rFonts w:hint="default"/>
        </w:rPr>
        <w:t xml:space="preserve">     </w:t>
      </w:r>
      <w:r>
        <w:drawing>
          <wp:inline distT="0" distB="0" distL="114300" distR="114300">
            <wp:extent cx="1170940" cy="1170940"/>
            <wp:effectExtent l="0" t="0" r="63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170940" cy="1170940"/>
                    </a:xfrm>
                    <a:prstGeom prst="rect">
                      <a:avLst/>
                    </a:prstGeom>
                    <a:noFill/>
                    <a:ln>
                      <a:noFill/>
                    </a:ln>
                  </pic:spPr>
                </pic:pic>
              </a:graphicData>
            </a:graphic>
          </wp:inline>
        </w:drawing>
      </w:r>
    </w:p>
    <w:p>
      <w:pPr>
        <w:pStyle w:val="19"/>
        <w:numPr>
          <w:ilvl w:val="0"/>
          <w:numId w:val="17"/>
        </w:numPr>
        <w:spacing w:line="360" w:lineRule="auto"/>
        <w:ind w:firstLineChars="0"/>
        <w:jc w:val="left"/>
        <w:rPr>
          <w:rFonts w:ascii="宋体" w:hAnsi="宋体" w:cs="宋体"/>
          <w:kern w:val="0"/>
          <w:szCs w:val="21"/>
        </w:rPr>
      </w:pPr>
      <w:r>
        <w:rPr>
          <w:rFonts w:asciiTheme="minorHAnsi" w:hAnsiTheme="minorHAnsi" w:eastAsiaTheme="majorEastAsia" w:cstheme="minorHAnsi"/>
          <w:szCs w:val="21"/>
        </w:rPr>
        <w:t>学生申请资料经初步审核后，参加面试确定预录取名单；</w:t>
      </w:r>
    </w:p>
    <w:p>
      <w:pPr>
        <w:pStyle w:val="19"/>
        <w:numPr>
          <w:ilvl w:val="0"/>
          <w:numId w:val="17"/>
        </w:numPr>
        <w:spacing w:line="360" w:lineRule="auto"/>
        <w:ind w:firstLineChars="0"/>
        <w:jc w:val="left"/>
        <w:rPr>
          <w:rFonts w:ascii="宋体" w:hAnsi="宋体" w:cs="宋体"/>
          <w:kern w:val="0"/>
          <w:szCs w:val="21"/>
        </w:rPr>
      </w:pPr>
      <w:r>
        <w:rPr>
          <w:rFonts w:hint="eastAsia" w:ascii="宋体" w:hAnsi="宋体" w:cs="宋体"/>
          <w:kern w:val="0"/>
          <w:szCs w:val="21"/>
        </w:rPr>
        <w:t>项目咨询：</w:t>
      </w:r>
      <w:r>
        <w:rPr>
          <w:rFonts w:hint="default" w:ascii="宋体" w:hAnsi="宋体" w:eastAsia="宋体" w:cs="宋体"/>
          <w:kern w:val="0"/>
          <w:szCs w:val="21"/>
          <w:lang w:eastAsia="zh-CN"/>
        </w:rPr>
        <w:t>许老师19814720130（微信同号）</w:t>
      </w:r>
      <w:bookmarkStart w:id="0" w:name="_GoBack"/>
      <w:bookmarkEnd w:id="0"/>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F5D7C"/>
    <w:multiLevelType w:val="singleLevel"/>
    <w:tmpl w:val="BA9F5D7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FF6EE01"/>
    <w:multiLevelType w:val="singleLevel"/>
    <w:tmpl w:val="CFF6EE01"/>
    <w:lvl w:ilvl="0" w:tentative="0">
      <w:start w:val="1"/>
      <w:numFmt w:val="bullet"/>
      <w:lvlText w:val=""/>
      <w:lvlJc w:val="left"/>
      <w:pPr>
        <w:ind w:left="420" w:hanging="420"/>
      </w:pPr>
      <w:rPr>
        <w:rFonts w:hint="default" w:ascii="Wingdings" w:hAnsi="Wingdings"/>
      </w:rPr>
    </w:lvl>
  </w:abstractNum>
  <w:abstractNum w:abstractNumId="2">
    <w:nsid w:val="DC3E53DA"/>
    <w:multiLevelType w:val="singleLevel"/>
    <w:tmpl w:val="DC3E53D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EBFEB8F9"/>
    <w:multiLevelType w:val="singleLevel"/>
    <w:tmpl w:val="EBFEB8F9"/>
    <w:lvl w:ilvl="0" w:tentative="0">
      <w:start w:val="1"/>
      <w:numFmt w:val="bullet"/>
      <w:lvlText w:val=""/>
      <w:lvlJc w:val="left"/>
      <w:pPr>
        <w:ind w:left="420" w:hanging="420"/>
      </w:pPr>
      <w:rPr>
        <w:rFonts w:hint="default" w:ascii="Wingdings" w:hAnsi="Wingdings"/>
      </w:rPr>
    </w:lvl>
  </w:abstractNum>
  <w:abstractNum w:abstractNumId="4">
    <w:nsid w:val="EFEDE8F2"/>
    <w:multiLevelType w:val="singleLevel"/>
    <w:tmpl w:val="EFEDE8F2"/>
    <w:lvl w:ilvl="0" w:tentative="0">
      <w:start w:val="1"/>
      <w:numFmt w:val="bullet"/>
      <w:lvlText w:val=""/>
      <w:lvlJc w:val="left"/>
      <w:pPr>
        <w:ind w:left="420" w:hanging="420"/>
      </w:pPr>
      <w:rPr>
        <w:rFonts w:hint="default" w:ascii="Wingdings" w:hAnsi="Wingdings"/>
      </w:rPr>
    </w:lvl>
  </w:abstractNum>
  <w:abstractNum w:abstractNumId="5">
    <w:nsid w:val="F3F3CD7E"/>
    <w:multiLevelType w:val="singleLevel"/>
    <w:tmpl w:val="F3F3CD7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F6FBB980"/>
    <w:multiLevelType w:val="singleLevel"/>
    <w:tmpl w:val="F6FBB98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F8BC3FFD"/>
    <w:multiLevelType w:val="multilevel"/>
    <w:tmpl w:val="F8BC3FFD"/>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8">
    <w:nsid w:val="FB7E5755"/>
    <w:multiLevelType w:val="singleLevel"/>
    <w:tmpl w:val="FB7E575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FF5F56D7"/>
    <w:multiLevelType w:val="singleLevel"/>
    <w:tmpl w:val="FF5F56D7"/>
    <w:lvl w:ilvl="0" w:tentative="0">
      <w:start w:val="1"/>
      <w:numFmt w:val="bullet"/>
      <w:lvlText w:val=""/>
      <w:lvlJc w:val="left"/>
      <w:pPr>
        <w:ind w:left="420" w:hanging="420"/>
      </w:pPr>
      <w:rPr>
        <w:rFonts w:hint="default" w:ascii="Wingdings" w:hAnsi="Wingdings"/>
      </w:rPr>
    </w:lvl>
  </w:abstractNum>
  <w:abstractNum w:abstractNumId="10">
    <w:nsid w:val="3EEDF7F5"/>
    <w:multiLevelType w:val="singleLevel"/>
    <w:tmpl w:val="3EEDF7F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46834264"/>
    <w:multiLevelType w:val="multilevel"/>
    <w:tmpl w:val="468342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12">
    <w:nsid w:val="57F4A5FA"/>
    <w:multiLevelType w:val="singleLevel"/>
    <w:tmpl w:val="57F4A5FA"/>
    <w:lvl w:ilvl="0" w:tentative="0">
      <w:start w:val="1"/>
      <w:numFmt w:val="bullet"/>
      <w:lvlText w:val=""/>
      <w:lvlJc w:val="left"/>
      <w:pPr>
        <w:ind w:left="420" w:hanging="420"/>
      </w:pPr>
      <w:rPr>
        <w:rFonts w:hint="default" w:ascii="Wingdings" w:hAnsi="Wingdings"/>
      </w:rPr>
    </w:lvl>
  </w:abstractNum>
  <w:abstractNum w:abstractNumId="13">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6D50662A"/>
    <w:multiLevelType w:val="multilevel"/>
    <w:tmpl w:val="6D50662A"/>
    <w:lvl w:ilvl="0" w:tentative="0">
      <w:start w:val="1"/>
      <w:numFmt w:val="decimal"/>
      <w:lvlText w:val="%1)"/>
      <w:lvlJc w:val="left"/>
      <w:pPr>
        <w:ind w:left="630" w:hanging="420"/>
      </w:pPr>
      <w:rPr>
        <w:rFonts w:hint="default"/>
        <w:b w:val="0"/>
        <w:bCs w:val="0"/>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5">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FDC33B7"/>
    <w:multiLevelType w:val="singleLevel"/>
    <w:tmpl w:val="7FDC33B7"/>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1"/>
  </w:num>
  <w:num w:numId="2">
    <w:abstractNumId w:val="12"/>
  </w:num>
  <w:num w:numId="3">
    <w:abstractNumId w:val="6"/>
  </w:num>
  <w:num w:numId="4">
    <w:abstractNumId w:val="2"/>
  </w:num>
  <w:num w:numId="5">
    <w:abstractNumId w:val="3"/>
  </w:num>
  <w:num w:numId="6">
    <w:abstractNumId w:val="16"/>
  </w:num>
  <w:num w:numId="7">
    <w:abstractNumId w:val="0"/>
  </w:num>
  <w:num w:numId="8">
    <w:abstractNumId w:val="5"/>
  </w:num>
  <w:num w:numId="9">
    <w:abstractNumId w:val="10"/>
  </w:num>
  <w:num w:numId="10">
    <w:abstractNumId w:val="1"/>
  </w:num>
  <w:num w:numId="11">
    <w:abstractNumId w:val="4"/>
  </w:num>
  <w:num w:numId="12">
    <w:abstractNumId w:val="8"/>
  </w:num>
  <w:num w:numId="13">
    <w:abstractNumId w:val="9"/>
  </w:num>
  <w:num w:numId="14">
    <w:abstractNumId w:val="7"/>
  </w:num>
  <w:num w:numId="15">
    <w:abstractNumId w:val="15"/>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jMDA1OTUzM2Y5NDY5MTRjNzkzNDYwY2VhYzcwZjQifQ=="/>
  </w:docVars>
  <w:rsids>
    <w:rsidRoot w:val="00500A8F"/>
    <w:rsid w:val="00001149"/>
    <w:rsid w:val="000035D7"/>
    <w:rsid w:val="00010F31"/>
    <w:rsid w:val="00013BA1"/>
    <w:rsid w:val="00014035"/>
    <w:rsid w:val="000147FF"/>
    <w:rsid w:val="000169DD"/>
    <w:rsid w:val="00022AFD"/>
    <w:rsid w:val="000230BD"/>
    <w:rsid w:val="000236D2"/>
    <w:rsid w:val="00024C64"/>
    <w:rsid w:val="00025206"/>
    <w:rsid w:val="0003068E"/>
    <w:rsid w:val="00030A02"/>
    <w:rsid w:val="00031403"/>
    <w:rsid w:val="000362BD"/>
    <w:rsid w:val="000402B0"/>
    <w:rsid w:val="00041148"/>
    <w:rsid w:val="00041BDA"/>
    <w:rsid w:val="00044599"/>
    <w:rsid w:val="0005187E"/>
    <w:rsid w:val="000519A2"/>
    <w:rsid w:val="0005389A"/>
    <w:rsid w:val="00055729"/>
    <w:rsid w:val="0006181E"/>
    <w:rsid w:val="00065242"/>
    <w:rsid w:val="000675A7"/>
    <w:rsid w:val="000820F9"/>
    <w:rsid w:val="0009206E"/>
    <w:rsid w:val="000954F4"/>
    <w:rsid w:val="000A0A86"/>
    <w:rsid w:val="000A248D"/>
    <w:rsid w:val="000A2A22"/>
    <w:rsid w:val="000A4030"/>
    <w:rsid w:val="000A5251"/>
    <w:rsid w:val="000B1A29"/>
    <w:rsid w:val="000C2F7C"/>
    <w:rsid w:val="000C2FF5"/>
    <w:rsid w:val="000C3F5B"/>
    <w:rsid w:val="000C4E56"/>
    <w:rsid w:val="000C5C18"/>
    <w:rsid w:val="000C7F9A"/>
    <w:rsid w:val="000D2EEA"/>
    <w:rsid w:val="000E1209"/>
    <w:rsid w:val="000E18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7FE8"/>
    <w:rsid w:val="00134011"/>
    <w:rsid w:val="00135F93"/>
    <w:rsid w:val="0013686A"/>
    <w:rsid w:val="00137D6E"/>
    <w:rsid w:val="00143E74"/>
    <w:rsid w:val="00146AB9"/>
    <w:rsid w:val="00151E96"/>
    <w:rsid w:val="00167799"/>
    <w:rsid w:val="00170451"/>
    <w:rsid w:val="001738F0"/>
    <w:rsid w:val="00176F21"/>
    <w:rsid w:val="00182E04"/>
    <w:rsid w:val="001834A2"/>
    <w:rsid w:val="00186190"/>
    <w:rsid w:val="001869B8"/>
    <w:rsid w:val="00192C0F"/>
    <w:rsid w:val="00196CB5"/>
    <w:rsid w:val="001A0C7A"/>
    <w:rsid w:val="001A281F"/>
    <w:rsid w:val="001A4E99"/>
    <w:rsid w:val="001A7D56"/>
    <w:rsid w:val="001B1369"/>
    <w:rsid w:val="001B1730"/>
    <w:rsid w:val="001B49B3"/>
    <w:rsid w:val="001C1A51"/>
    <w:rsid w:val="001C3481"/>
    <w:rsid w:val="001C6985"/>
    <w:rsid w:val="001D4042"/>
    <w:rsid w:val="001D4EF4"/>
    <w:rsid w:val="001E31D7"/>
    <w:rsid w:val="001E5D98"/>
    <w:rsid w:val="001E7571"/>
    <w:rsid w:val="001F00DB"/>
    <w:rsid w:val="001F5524"/>
    <w:rsid w:val="00202030"/>
    <w:rsid w:val="00203BFF"/>
    <w:rsid w:val="002133F2"/>
    <w:rsid w:val="0021711E"/>
    <w:rsid w:val="00220E2D"/>
    <w:rsid w:val="0022214B"/>
    <w:rsid w:val="0022260C"/>
    <w:rsid w:val="002274D9"/>
    <w:rsid w:val="00231B5A"/>
    <w:rsid w:val="00242260"/>
    <w:rsid w:val="002441C6"/>
    <w:rsid w:val="002449A1"/>
    <w:rsid w:val="00251642"/>
    <w:rsid w:val="00254885"/>
    <w:rsid w:val="00255140"/>
    <w:rsid w:val="00261406"/>
    <w:rsid w:val="00261C11"/>
    <w:rsid w:val="00271BCB"/>
    <w:rsid w:val="00275270"/>
    <w:rsid w:val="0028056A"/>
    <w:rsid w:val="002806E5"/>
    <w:rsid w:val="002852EE"/>
    <w:rsid w:val="0029179F"/>
    <w:rsid w:val="00292326"/>
    <w:rsid w:val="00295361"/>
    <w:rsid w:val="00296348"/>
    <w:rsid w:val="00297E1A"/>
    <w:rsid w:val="002A1734"/>
    <w:rsid w:val="002A402F"/>
    <w:rsid w:val="002B61DD"/>
    <w:rsid w:val="002B7076"/>
    <w:rsid w:val="002C2028"/>
    <w:rsid w:val="002C229B"/>
    <w:rsid w:val="002C27D4"/>
    <w:rsid w:val="002C571A"/>
    <w:rsid w:val="002C6AEB"/>
    <w:rsid w:val="002C722D"/>
    <w:rsid w:val="002D04D0"/>
    <w:rsid w:val="002D76B2"/>
    <w:rsid w:val="002E0E9B"/>
    <w:rsid w:val="002E1476"/>
    <w:rsid w:val="002E3299"/>
    <w:rsid w:val="002E4985"/>
    <w:rsid w:val="002E64CC"/>
    <w:rsid w:val="002F1A53"/>
    <w:rsid w:val="002F314E"/>
    <w:rsid w:val="002F3568"/>
    <w:rsid w:val="002F7AB9"/>
    <w:rsid w:val="0030157A"/>
    <w:rsid w:val="00302995"/>
    <w:rsid w:val="00303D3D"/>
    <w:rsid w:val="0031712B"/>
    <w:rsid w:val="00321717"/>
    <w:rsid w:val="00321D5F"/>
    <w:rsid w:val="00333C15"/>
    <w:rsid w:val="00334538"/>
    <w:rsid w:val="003354A1"/>
    <w:rsid w:val="003423E0"/>
    <w:rsid w:val="00342D9D"/>
    <w:rsid w:val="00342E7E"/>
    <w:rsid w:val="00361E48"/>
    <w:rsid w:val="003643BE"/>
    <w:rsid w:val="0037277F"/>
    <w:rsid w:val="003738EA"/>
    <w:rsid w:val="00375491"/>
    <w:rsid w:val="003822A8"/>
    <w:rsid w:val="00383DCC"/>
    <w:rsid w:val="00386A4E"/>
    <w:rsid w:val="00386C51"/>
    <w:rsid w:val="00387362"/>
    <w:rsid w:val="00390FCA"/>
    <w:rsid w:val="00394A95"/>
    <w:rsid w:val="00396306"/>
    <w:rsid w:val="00397742"/>
    <w:rsid w:val="003B4151"/>
    <w:rsid w:val="003B669C"/>
    <w:rsid w:val="003B786E"/>
    <w:rsid w:val="003C6A2D"/>
    <w:rsid w:val="003C6EF7"/>
    <w:rsid w:val="003D0F7B"/>
    <w:rsid w:val="003D0FE9"/>
    <w:rsid w:val="003D2BCE"/>
    <w:rsid w:val="003D4037"/>
    <w:rsid w:val="003D4529"/>
    <w:rsid w:val="003D4B46"/>
    <w:rsid w:val="003D5F48"/>
    <w:rsid w:val="003E01B3"/>
    <w:rsid w:val="003E3199"/>
    <w:rsid w:val="003F050A"/>
    <w:rsid w:val="003F059B"/>
    <w:rsid w:val="003F4EDA"/>
    <w:rsid w:val="003F50D1"/>
    <w:rsid w:val="003F5F88"/>
    <w:rsid w:val="003F73EF"/>
    <w:rsid w:val="00404963"/>
    <w:rsid w:val="0041273F"/>
    <w:rsid w:val="0042039B"/>
    <w:rsid w:val="00426325"/>
    <w:rsid w:val="00430381"/>
    <w:rsid w:val="00437101"/>
    <w:rsid w:val="00437A33"/>
    <w:rsid w:val="00437B77"/>
    <w:rsid w:val="004421B1"/>
    <w:rsid w:val="00442AE1"/>
    <w:rsid w:val="004469A3"/>
    <w:rsid w:val="004472FC"/>
    <w:rsid w:val="0045270B"/>
    <w:rsid w:val="00454C45"/>
    <w:rsid w:val="004624BE"/>
    <w:rsid w:val="00465A92"/>
    <w:rsid w:val="004674CE"/>
    <w:rsid w:val="004679CE"/>
    <w:rsid w:val="00470270"/>
    <w:rsid w:val="00471CBF"/>
    <w:rsid w:val="00481273"/>
    <w:rsid w:val="00485AD1"/>
    <w:rsid w:val="004932B6"/>
    <w:rsid w:val="004946E0"/>
    <w:rsid w:val="00495E6D"/>
    <w:rsid w:val="004A1602"/>
    <w:rsid w:val="004A51A8"/>
    <w:rsid w:val="004B3073"/>
    <w:rsid w:val="004B4D89"/>
    <w:rsid w:val="004B516E"/>
    <w:rsid w:val="004C0E26"/>
    <w:rsid w:val="004C343D"/>
    <w:rsid w:val="004C5277"/>
    <w:rsid w:val="004C6632"/>
    <w:rsid w:val="004D3884"/>
    <w:rsid w:val="004D498F"/>
    <w:rsid w:val="004D5BBA"/>
    <w:rsid w:val="004E0748"/>
    <w:rsid w:val="004E14F4"/>
    <w:rsid w:val="004E728E"/>
    <w:rsid w:val="004F0AAB"/>
    <w:rsid w:val="004F743F"/>
    <w:rsid w:val="004F7C1B"/>
    <w:rsid w:val="00500A8F"/>
    <w:rsid w:val="00504529"/>
    <w:rsid w:val="005060F9"/>
    <w:rsid w:val="00510599"/>
    <w:rsid w:val="00512BAE"/>
    <w:rsid w:val="005167D4"/>
    <w:rsid w:val="00520C0E"/>
    <w:rsid w:val="00522EAE"/>
    <w:rsid w:val="005250F2"/>
    <w:rsid w:val="00525703"/>
    <w:rsid w:val="005326B5"/>
    <w:rsid w:val="005339BB"/>
    <w:rsid w:val="00536F45"/>
    <w:rsid w:val="00537EE6"/>
    <w:rsid w:val="00547E75"/>
    <w:rsid w:val="0055315D"/>
    <w:rsid w:val="00555016"/>
    <w:rsid w:val="00556212"/>
    <w:rsid w:val="00563F7F"/>
    <w:rsid w:val="0057138A"/>
    <w:rsid w:val="00572B6E"/>
    <w:rsid w:val="00573C15"/>
    <w:rsid w:val="0057494B"/>
    <w:rsid w:val="005762B0"/>
    <w:rsid w:val="00584716"/>
    <w:rsid w:val="005849E3"/>
    <w:rsid w:val="00584E4F"/>
    <w:rsid w:val="00584E6C"/>
    <w:rsid w:val="00586D6C"/>
    <w:rsid w:val="00587D18"/>
    <w:rsid w:val="00596D1A"/>
    <w:rsid w:val="005A31F5"/>
    <w:rsid w:val="005A65C8"/>
    <w:rsid w:val="005B69C2"/>
    <w:rsid w:val="005C27A1"/>
    <w:rsid w:val="005C43F0"/>
    <w:rsid w:val="005C7CC0"/>
    <w:rsid w:val="005D0683"/>
    <w:rsid w:val="005E5A41"/>
    <w:rsid w:val="005E674A"/>
    <w:rsid w:val="005E6E17"/>
    <w:rsid w:val="005F6112"/>
    <w:rsid w:val="00606AA2"/>
    <w:rsid w:val="00606C4F"/>
    <w:rsid w:val="00615CF7"/>
    <w:rsid w:val="00617A76"/>
    <w:rsid w:val="00621ED0"/>
    <w:rsid w:val="00622238"/>
    <w:rsid w:val="00624494"/>
    <w:rsid w:val="00624BB2"/>
    <w:rsid w:val="00632329"/>
    <w:rsid w:val="00637AD1"/>
    <w:rsid w:val="006421C2"/>
    <w:rsid w:val="006452B3"/>
    <w:rsid w:val="0066295A"/>
    <w:rsid w:val="00663035"/>
    <w:rsid w:val="00664055"/>
    <w:rsid w:val="00666CF9"/>
    <w:rsid w:val="00667457"/>
    <w:rsid w:val="00667A61"/>
    <w:rsid w:val="00670ED6"/>
    <w:rsid w:val="0067541F"/>
    <w:rsid w:val="00682105"/>
    <w:rsid w:val="006858D5"/>
    <w:rsid w:val="00687DBB"/>
    <w:rsid w:val="00696B1C"/>
    <w:rsid w:val="006A2B5F"/>
    <w:rsid w:val="006A439F"/>
    <w:rsid w:val="006A6A07"/>
    <w:rsid w:val="006A72B8"/>
    <w:rsid w:val="006B1E37"/>
    <w:rsid w:val="006C2070"/>
    <w:rsid w:val="006D5B15"/>
    <w:rsid w:val="006D642C"/>
    <w:rsid w:val="006F6895"/>
    <w:rsid w:val="00700EA9"/>
    <w:rsid w:val="0070255A"/>
    <w:rsid w:val="00705BEF"/>
    <w:rsid w:val="00706179"/>
    <w:rsid w:val="007113DD"/>
    <w:rsid w:val="00713EF9"/>
    <w:rsid w:val="0071430B"/>
    <w:rsid w:val="00720659"/>
    <w:rsid w:val="0072201D"/>
    <w:rsid w:val="007243E9"/>
    <w:rsid w:val="00730B61"/>
    <w:rsid w:val="00733292"/>
    <w:rsid w:val="007423FD"/>
    <w:rsid w:val="0076199E"/>
    <w:rsid w:val="007619AD"/>
    <w:rsid w:val="00762330"/>
    <w:rsid w:val="007640E0"/>
    <w:rsid w:val="007652B1"/>
    <w:rsid w:val="0076777F"/>
    <w:rsid w:val="00770616"/>
    <w:rsid w:val="00772E22"/>
    <w:rsid w:val="00775505"/>
    <w:rsid w:val="00776AE1"/>
    <w:rsid w:val="0078010F"/>
    <w:rsid w:val="00785C31"/>
    <w:rsid w:val="007970A2"/>
    <w:rsid w:val="007A01B4"/>
    <w:rsid w:val="007A03BE"/>
    <w:rsid w:val="007A07E5"/>
    <w:rsid w:val="007A385D"/>
    <w:rsid w:val="007A3E79"/>
    <w:rsid w:val="007A7362"/>
    <w:rsid w:val="007B5A17"/>
    <w:rsid w:val="007B7729"/>
    <w:rsid w:val="007C66DE"/>
    <w:rsid w:val="007D0768"/>
    <w:rsid w:val="007D224F"/>
    <w:rsid w:val="007D6B8F"/>
    <w:rsid w:val="007E0C8A"/>
    <w:rsid w:val="007E156F"/>
    <w:rsid w:val="007E2ACE"/>
    <w:rsid w:val="007E3816"/>
    <w:rsid w:val="007F262A"/>
    <w:rsid w:val="007F5700"/>
    <w:rsid w:val="00802548"/>
    <w:rsid w:val="00802957"/>
    <w:rsid w:val="008122CA"/>
    <w:rsid w:val="00814AA6"/>
    <w:rsid w:val="00823ADD"/>
    <w:rsid w:val="008267EE"/>
    <w:rsid w:val="0083050D"/>
    <w:rsid w:val="00832E9B"/>
    <w:rsid w:val="0083786A"/>
    <w:rsid w:val="00840178"/>
    <w:rsid w:val="0084297C"/>
    <w:rsid w:val="008432ED"/>
    <w:rsid w:val="00843F7D"/>
    <w:rsid w:val="008450F3"/>
    <w:rsid w:val="0086227D"/>
    <w:rsid w:val="00863FEE"/>
    <w:rsid w:val="008653E0"/>
    <w:rsid w:val="00865CF9"/>
    <w:rsid w:val="00866C18"/>
    <w:rsid w:val="00867B69"/>
    <w:rsid w:val="0088500C"/>
    <w:rsid w:val="0089014A"/>
    <w:rsid w:val="008902CF"/>
    <w:rsid w:val="008966E9"/>
    <w:rsid w:val="008A252D"/>
    <w:rsid w:val="008B4A3B"/>
    <w:rsid w:val="008B56E5"/>
    <w:rsid w:val="008C1F77"/>
    <w:rsid w:val="008C53F5"/>
    <w:rsid w:val="008D3CFE"/>
    <w:rsid w:val="008D5E6C"/>
    <w:rsid w:val="008D7F16"/>
    <w:rsid w:val="008E1E1E"/>
    <w:rsid w:val="008E4534"/>
    <w:rsid w:val="008E54DB"/>
    <w:rsid w:val="008F1045"/>
    <w:rsid w:val="008F171A"/>
    <w:rsid w:val="008F7734"/>
    <w:rsid w:val="009018E4"/>
    <w:rsid w:val="00903BED"/>
    <w:rsid w:val="00905613"/>
    <w:rsid w:val="00905BF1"/>
    <w:rsid w:val="00910970"/>
    <w:rsid w:val="00913572"/>
    <w:rsid w:val="009171E7"/>
    <w:rsid w:val="00917A3B"/>
    <w:rsid w:val="0092087F"/>
    <w:rsid w:val="0092377F"/>
    <w:rsid w:val="00924BF1"/>
    <w:rsid w:val="00930DF7"/>
    <w:rsid w:val="00936821"/>
    <w:rsid w:val="0094276A"/>
    <w:rsid w:val="00942C75"/>
    <w:rsid w:val="009466E4"/>
    <w:rsid w:val="0095092B"/>
    <w:rsid w:val="00951195"/>
    <w:rsid w:val="00952045"/>
    <w:rsid w:val="00952BA5"/>
    <w:rsid w:val="009554FB"/>
    <w:rsid w:val="00957EEC"/>
    <w:rsid w:val="009609B5"/>
    <w:rsid w:val="00963696"/>
    <w:rsid w:val="009642E6"/>
    <w:rsid w:val="009645E2"/>
    <w:rsid w:val="00965CCC"/>
    <w:rsid w:val="00972BCD"/>
    <w:rsid w:val="0097304E"/>
    <w:rsid w:val="0097647D"/>
    <w:rsid w:val="00983752"/>
    <w:rsid w:val="00983EF6"/>
    <w:rsid w:val="00990647"/>
    <w:rsid w:val="0099101F"/>
    <w:rsid w:val="009959F3"/>
    <w:rsid w:val="00996091"/>
    <w:rsid w:val="009A11C1"/>
    <w:rsid w:val="009A16FA"/>
    <w:rsid w:val="009A1CFD"/>
    <w:rsid w:val="009A27F7"/>
    <w:rsid w:val="009A292D"/>
    <w:rsid w:val="009A4CAF"/>
    <w:rsid w:val="009A69B5"/>
    <w:rsid w:val="009A6B36"/>
    <w:rsid w:val="009B0D73"/>
    <w:rsid w:val="009B1848"/>
    <w:rsid w:val="009B3167"/>
    <w:rsid w:val="009B682A"/>
    <w:rsid w:val="009C020C"/>
    <w:rsid w:val="009C17A4"/>
    <w:rsid w:val="009C35A3"/>
    <w:rsid w:val="009C5D67"/>
    <w:rsid w:val="009C7A2D"/>
    <w:rsid w:val="009C7CE4"/>
    <w:rsid w:val="009E4A3B"/>
    <w:rsid w:val="009F0653"/>
    <w:rsid w:val="009F7788"/>
    <w:rsid w:val="009F7FCB"/>
    <w:rsid w:val="00A00B17"/>
    <w:rsid w:val="00A03165"/>
    <w:rsid w:val="00A1042E"/>
    <w:rsid w:val="00A15965"/>
    <w:rsid w:val="00A1794D"/>
    <w:rsid w:val="00A207E1"/>
    <w:rsid w:val="00A220C6"/>
    <w:rsid w:val="00A2358C"/>
    <w:rsid w:val="00A2663A"/>
    <w:rsid w:val="00A309B6"/>
    <w:rsid w:val="00A31C85"/>
    <w:rsid w:val="00A32C2E"/>
    <w:rsid w:val="00A33A9E"/>
    <w:rsid w:val="00A41AEC"/>
    <w:rsid w:val="00A5437F"/>
    <w:rsid w:val="00A623DF"/>
    <w:rsid w:val="00A67A48"/>
    <w:rsid w:val="00A67B5E"/>
    <w:rsid w:val="00A72E16"/>
    <w:rsid w:val="00A76003"/>
    <w:rsid w:val="00A76D78"/>
    <w:rsid w:val="00A82ED7"/>
    <w:rsid w:val="00A83140"/>
    <w:rsid w:val="00A843DA"/>
    <w:rsid w:val="00A84830"/>
    <w:rsid w:val="00A90B22"/>
    <w:rsid w:val="00AA2334"/>
    <w:rsid w:val="00AA4DC4"/>
    <w:rsid w:val="00AA4FDD"/>
    <w:rsid w:val="00AB05C6"/>
    <w:rsid w:val="00AB66D7"/>
    <w:rsid w:val="00AC266D"/>
    <w:rsid w:val="00AC32C6"/>
    <w:rsid w:val="00AC36F0"/>
    <w:rsid w:val="00AD7BA1"/>
    <w:rsid w:val="00AE7DD0"/>
    <w:rsid w:val="00AF5247"/>
    <w:rsid w:val="00AF78C6"/>
    <w:rsid w:val="00AF7CB4"/>
    <w:rsid w:val="00B00961"/>
    <w:rsid w:val="00B06E66"/>
    <w:rsid w:val="00B12237"/>
    <w:rsid w:val="00B12438"/>
    <w:rsid w:val="00B12F3C"/>
    <w:rsid w:val="00B24FF7"/>
    <w:rsid w:val="00B2543C"/>
    <w:rsid w:val="00B26192"/>
    <w:rsid w:val="00B27AAC"/>
    <w:rsid w:val="00B40A47"/>
    <w:rsid w:val="00B40A66"/>
    <w:rsid w:val="00B50CF4"/>
    <w:rsid w:val="00B57B39"/>
    <w:rsid w:val="00B6632A"/>
    <w:rsid w:val="00B67C18"/>
    <w:rsid w:val="00B74F9C"/>
    <w:rsid w:val="00B76725"/>
    <w:rsid w:val="00B801E0"/>
    <w:rsid w:val="00B83422"/>
    <w:rsid w:val="00B841C1"/>
    <w:rsid w:val="00B8765A"/>
    <w:rsid w:val="00B955B3"/>
    <w:rsid w:val="00BA15F6"/>
    <w:rsid w:val="00BA32D8"/>
    <w:rsid w:val="00BA4420"/>
    <w:rsid w:val="00BB03D0"/>
    <w:rsid w:val="00BB11A8"/>
    <w:rsid w:val="00BB2026"/>
    <w:rsid w:val="00BC3B43"/>
    <w:rsid w:val="00BC5535"/>
    <w:rsid w:val="00BC7E20"/>
    <w:rsid w:val="00BD670A"/>
    <w:rsid w:val="00BE02A7"/>
    <w:rsid w:val="00BE2788"/>
    <w:rsid w:val="00BE6F4C"/>
    <w:rsid w:val="00BE7E70"/>
    <w:rsid w:val="00BF460C"/>
    <w:rsid w:val="00BF5F9C"/>
    <w:rsid w:val="00C02F99"/>
    <w:rsid w:val="00C03778"/>
    <w:rsid w:val="00C05D8E"/>
    <w:rsid w:val="00C06B20"/>
    <w:rsid w:val="00C06CBE"/>
    <w:rsid w:val="00C07791"/>
    <w:rsid w:val="00C11863"/>
    <w:rsid w:val="00C123C3"/>
    <w:rsid w:val="00C126DF"/>
    <w:rsid w:val="00C15DBB"/>
    <w:rsid w:val="00C22071"/>
    <w:rsid w:val="00C25B78"/>
    <w:rsid w:val="00C2641C"/>
    <w:rsid w:val="00C444EA"/>
    <w:rsid w:val="00C453CE"/>
    <w:rsid w:val="00C50DF8"/>
    <w:rsid w:val="00C5114A"/>
    <w:rsid w:val="00C55BB5"/>
    <w:rsid w:val="00C56242"/>
    <w:rsid w:val="00C642A4"/>
    <w:rsid w:val="00C64953"/>
    <w:rsid w:val="00C65992"/>
    <w:rsid w:val="00C745E3"/>
    <w:rsid w:val="00C75C2E"/>
    <w:rsid w:val="00C766EF"/>
    <w:rsid w:val="00C773FC"/>
    <w:rsid w:val="00C807AA"/>
    <w:rsid w:val="00C80EE6"/>
    <w:rsid w:val="00C817A7"/>
    <w:rsid w:val="00C84AD6"/>
    <w:rsid w:val="00C861B2"/>
    <w:rsid w:val="00CA1D86"/>
    <w:rsid w:val="00CA222B"/>
    <w:rsid w:val="00CA2A8B"/>
    <w:rsid w:val="00CA65E9"/>
    <w:rsid w:val="00CB0018"/>
    <w:rsid w:val="00CB4339"/>
    <w:rsid w:val="00CB6A55"/>
    <w:rsid w:val="00CC06D4"/>
    <w:rsid w:val="00CC1890"/>
    <w:rsid w:val="00CC480B"/>
    <w:rsid w:val="00CC530F"/>
    <w:rsid w:val="00CC6F76"/>
    <w:rsid w:val="00CC72C5"/>
    <w:rsid w:val="00CC7310"/>
    <w:rsid w:val="00CD332E"/>
    <w:rsid w:val="00CD41C2"/>
    <w:rsid w:val="00CD4E6A"/>
    <w:rsid w:val="00CD5A34"/>
    <w:rsid w:val="00CE06FC"/>
    <w:rsid w:val="00CE4335"/>
    <w:rsid w:val="00D02906"/>
    <w:rsid w:val="00D03331"/>
    <w:rsid w:val="00D071AB"/>
    <w:rsid w:val="00D073EA"/>
    <w:rsid w:val="00D12776"/>
    <w:rsid w:val="00D2092D"/>
    <w:rsid w:val="00D31AFE"/>
    <w:rsid w:val="00D31BE3"/>
    <w:rsid w:val="00D332D6"/>
    <w:rsid w:val="00D346FC"/>
    <w:rsid w:val="00D35444"/>
    <w:rsid w:val="00D3691D"/>
    <w:rsid w:val="00D371C4"/>
    <w:rsid w:val="00D44063"/>
    <w:rsid w:val="00D44541"/>
    <w:rsid w:val="00D50E81"/>
    <w:rsid w:val="00D51649"/>
    <w:rsid w:val="00D634D8"/>
    <w:rsid w:val="00D63C2D"/>
    <w:rsid w:val="00D651FF"/>
    <w:rsid w:val="00D71185"/>
    <w:rsid w:val="00D71DEB"/>
    <w:rsid w:val="00D73882"/>
    <w:rsid w:val="00D80609"/>
    <w:rsid w:val="00D82BB6"/>
    <w:rsid w:val="00DA08E9"/>
    <w:rsid w:val="00DA100A"/>
    <w:rsid w:val="00DA19D1"/>
    <w:rsid w:val="00DA25AD"/>
    <w:rsid w:val="00DA73E5"/>
    <w:rsid w:val="00DB0090"/>
    <w:rsid w:val="00DB1679"/>
    <w:rsid w:val="00DB335D"/>
    <w:rsid w:val="00DB462A"/>
    <w:rsid w:val="00DC2F1C"/>
    <w:rsid w:val="00DC2F84"/>
    <w:rsid w:val="00DC4BA2"/>
    <w:rsid w:val="00DC57F3"/>
    <w:rsid w:val="00DD4C8D"/>
    <w:rsid w:val="00DD60F4"/>
    <w:rsid w:val="00DD7FB4"/>
    <w:rsid w:val="00DE3A6C"/>
    <w:rsid w:val="00DE78E8"/>
    <w:rsid w:val="00DE7BD3"/>
    <w:rsid w:val="00DF1C7E"/>
    <w:rsid w:val="00DF4AB0"/>
    <w:rsid w:val="00DF66EE"/>
    <w:rsid w:val="00E00371"/>
    <w:rsid w:val="00E07A31"/>
    <w:rsid w:val="00E1522D"/>
    <w:rsid w:val="00E17346"/>
    <w:rsid w:val="00E23047"/>
    <w:rsid w:val="00E23270"/>
    <w:rsid w:val="00E238A4"/>
    <w:rsid w:val="00E309FD"/>
    <w:rsid w:val="00E403D4"/>
    <w:rsid w:val="00E41AAF"/>
    <w:rsid w:val="00E50150"/>
    <w:rsid w:val="00E5049F"/>
    <w:rsid w:val="00E61308"/>
    <w:rsid w:val="00E61E70"/>
    <w:rsid w:val="00E67E38"/>
    <w:rsid w:val="00E76995"/>
    <w:rsid w:val="00E80E43"/>
    <w:rsid w:val="00E8311C"/>
    <w:rsid w:val="00E87A04"/>
    <w:rsid w:val="00E922B4"/>
    <w:rsid w:val="00E97970"/>
    <w:rsid w:val="00EA30DA"/>
    <w:rsid w:val="00EA4003"/>
    <w:rsid w:val="00EB0151"/>
    <w:rsid w:val="00EB7ED2"/>
    <w:rsid w:val="00EC43C8"/>
    <w:rsid w:val="00ED3F02"/>
    <w:rsid w:val="00ED457C"/>
    <w:rsid w:val="00EE0B92"/>
    <w:rsid w:val="00EE0F0E"/>
    <w:rsid w:val="00EE68D2"/>
    <w:rsid w:val="00EF14B7"/>
    <w:rsid w:val="00EF44AD"/>
    <w:rsid w:val="00F011DD"/>
    <w:rsid w:val="00F014F8"/>
    <w:rsid w:val="00F057A1"/>
    <w:rsid w:val="00F13937"/>
    <w:rsid w:val="00F162EF"/>
    <w:rsid w:val="00F17267"/>
    <w:rsid w:val="00F23387"/>
    <w:rsid w:val="00F27587"/>
    <w:rsid w:val="00F307F9"/>
    <w:rsid w:val="00F3131F"/>
    <w:rsid w:val="00F32538"/>
    <w:rsid w:val="00F34A00"/>
    <w:rsid w:val="00F34D93"/>
    <w:rsid w:val="00F50728"/>
    <w:rsid w:val="00F62AEB"/>
    <w:rsid w:val="00F66A6D"/>
    <w:rsid w:val="00F72010"/>
    <w:rsid w:val="00F76428"/>
    <w:rsid w:val="00F77798"/>
    <w:rsid w:val="00F778F0"/>
    <w:rsid w:val="00F77B4D"/>
    <w:rsid w:val="00F820F7"/>
    <w:rsid w:val="00F832EB"/>
    <w:rsid w:val="00F83A44"/>
    <w:rsid w:val="00F85C22"/>
    <w:rsid w:val="00F86B12"/>
    <w:rsid w:val="00F87AC6"/>
    <w:rsid w:val="00F979AC"/>
    <w:rsid w:val="00FA1DC1"/>
    <w:rsid w:val="00FA6353"/>
    <w:rsid w:val="00FB32DE"/>
    <w:rsid w:val="00FB7A50"/>
    <w:rsid w:val="00FC0DF5"/>
    <w:rsid w:val="00FC3697"/>
    <w:rsid w:val="00FC44B5"/>
    <w:rsid w:val="00FC6127"/>
    <w:rsid w:val="00FC7A4D"/>
    <w:rsid w:val="00FD08A0"/>
    <w:rsid w:val="00FD2E42"/>
    <w:rsid w:val="00FD4AA6"/>
    <w:rsid w:val="00FD55B2"/>
    <w:rsid w:val="00FE2B9E"/>
    <w:rsid w:val="00FE6555"/>
    <w:rsid w:val="00FE6AA0"/>
    <w:rsid w:val="00FF13BC"/>
    <w:rsid w:val="00FF51E1"/>
    <w:rsid w:val="01BE4759"/>
    <w:rsid w:val="0B6673D2"/>
    <w:rsid w:val="0C92128D"/>
    <w:rsid w:val="0FAF76A8"/>
    <w:rsid w:val="117E90B9"/>
    <w:rsid w:val="13F0662F"/>
    <w:rsid w:val="1542235D"/>
    <w:rsid w:val="1782113B"/>
    <w:rsid w:val="199054D3"/>
    <w:rsid w:val="1AFC175B"/>
    <w:rsid w:val="1B9C12A0"/>
    <w:rsid w:val="1EF3533A"/>
    <w:rsid w:val="278B188D"/>
    <w:rsid w:val="29BE613E"/>
    <w:rsid w:val="2B9056E6"/>
    <w:rsid w:val="2BDFB16F"/>
    <w:rsid w:val="2F6F79B0"/>
    <w:rsid w:val="32F469A7"/>
    <w:rsid w:val="333D2325"/>
    <w:rsid w:val="3697705D"/>
    <w:rsid w:val="370C2528"/>
    <w:rsid w:val="37F5E4E4"/>
    <w:rsid w:val="39EB70AC"/>
    <w:rsid w:val="39FE87AB"/>
    <w:rsid w:val="3FD38EE0"/>
    <w:rsid w:val="3FF3F038"/>
    <w:rsid w:val="3FFF7F56"/>
    <w:rsid w:val="42B7BBC4"/>
    <w:rsid w:val="43EB6FBE"/>
    <w:rsid w:val="4663199C"/>
    <w:rsid w:val="4BB490D0"/>
    <w:rsid w:val="4EEEF519"/>
    <w:rsid w:val="4EFD4A16"/>
    <w:rsid w:val="4F575055"/>
    <w:rsid w:val="4FA41450"/>
    <w:rsid w:val="5052076A"/>
    <w:rsid w:val="51C30BE7"/>
    <w:rsid w:val="52BC7266"/>
    <w:rsid w:val="54420BCB"/>
    <w:rsid w:val="577FF747"/>
    <w:rsid w:val="57BFFD08"/>
    <w:rsid w:val="5A913141"/>
    <w:rsid w:val="5BFE8697"/>
    <w:rsid w:val="5CFBA6CD"/>
    <w:rsid w:val="5F5D6471"/>
    <w:rsid w:val="5FE64516"/>
    <w:rsid w:val="5FFB70F7"/>
    <w:rsid w:val="63BFD1DC"/>
    <w:rsid w:val="67F7E764"/>
    <w:rsid w:val="68426EDF"/>
    <w:rsid w:val="6DC74436"/>
    <w:rsid w:val="6E2FF307"/>
    <w:rsid w:val="6EEEEA45"/>
    <w:rsid w:val="6F6F503E"/>
    <w:rsid w:val="6F77EEBF"/>
    <w:rsid w:val="6F7D3574"/>
    <w:rsid w:val="6F93A2EB"/>
    <w:rsid w:val="6FDC703F"/>
    <w:rsid w:val="70FFACBA"/>
    <w:rsid w:val="757DC129"/>
    <w:rsid w:val="75BBA18A"/>
    <w:rsid w:val="75FFD642"/>
    <w:rsid w:val="76E71A1A"/>
    <w:rsid w:val="778611A3"/>
    <w:rsid w:val="77DBBE44"/>
    <w:rsid w:val="77DF8771"/>
    <w:rsid w:val="77FCB413"/>
    <w:rsid w:val="7A7F2648"/>
    <w:rsid w:val="7CFC7B93"/>
    <w:rsid w:val="7D57B136"/>
    <w:rsid w:val="7EB37ED3"/>
    <w:rsid w:val="7EDD1A67"/>
    <w:rsid w:val="7F124915"/>
    <w:rsid w:val="7F8BC2F5"/>
    <w:rsid w:val="7F9F4147"/>
    <w:rsid w:val="7FD8E875"/>
    <w:rsid w:val="7FE7C69C"/>
    <w:rsid w:val="7FF7DDC0"/>
    <w:rsid w:val="7FFA884E"/>
    <w:rsid w:val="7FFDAF19"/>
    <w:rsid w:val="8F9EFEBA"/>
    <w:rsid w:val="9E7FB0D6"/>
    <w:rsid w:val="9EB6103B"/>
    <w:rsid w:val="9EEF6FA8"/>
    <w:rsid w:val="9FFFDCCA"/>
    <w:rsid w:val="A2BF9867"/>
    <w:rsid w:val="ACA6FB7C"/>
    <w:rsid w:val="AF7D8B26"/>
    <w:rsid w:val="B3F78B4A"/>
    <w:rsid w:val="B9EF10E2"/>
    <w:rsid w:val="BDDFC2BB"/>
    <w:rsid w:val="BEA21ADA"/>
    <w:rsid w:val="BEF24E54"/>
    <w:rsid w:val="BEFCD0FA"/>
    <w:rsid w:val="BFAB9766"/>
    <w:rsid w:val="CFFFCA2E"/>
    <w:rsid w:val="D4BFCBAC"/>
    <w:rsid w:val="D7EB71CF"/>
    <w:rsid w:val="D7FA54D3"/>
    <w:rsid w:val="D8FBA931"/>
    <w:rsid w:val="DD7DF9EA"/>
    <w:rsid w:val="DDFDDAD1"/>
    <w:rsid w:val="DEE3A79F"/>
    <w:rsid w:val="DFBD6D25"/>
    <w:rsid w:val="E7E737C9"/>
    <w:rsid w:val="E7F360FD"/>
    <w:rsid w:val="E7FB8EF2"/>
    <w:rsid w:val="E7FF5A86"/>
    <w:rsid w:val="E95B18CB"/>
    <w:rsid w:val="EBBA7CFD"/>
    <w:rsid w:val="EBEB044F"/>
    <w:rsid w:val="EDEDF0B7"/>
    <w:rsid w:val="EDF6291C"/>
    <w:rsid w:val="EEDED1DF"/>
    <w:rsid w:val="EEEF4280"/>
    <w:rsid w:val="EEF716B8"/>
    <w:rsid w:val="EFFA3853"/>
    <w:rsid w:val="EFFE5494"/>
    <w:rsid w:val="EFFF7BE4"/>
    <w:rsid w:val="F2727F3A"/>
    <w:rsid w:val="F7CD9B09"/>
    <w:rsid w:val="F7DF80C0"/>
    <w:rsid w:val="F7EF3E05"/>
    <w:rsid w:val="F7EFC06F"/>
    <w:rsid w:val="F87F1043"/>
    <w:rsid w:val="F8BE8060"/>
    <w:rsid w:val="F9CFC945"/>
    <w:rsid w:val="FA3E7073"/>
    <w:rsid w:val="FB7D1C1F"/>
    <w:rsid w:val="FBDFAB0F"/>
    <w:rsid w:val="FBED47B4"/>
    <w:rsid w:val="FBFF638D"/>
    <w:rsid w:val="FCFF7186"/>
    <w:rsid w:val="FDEBCFA2"/>
    <w:rsid w:val="FDEE4908"/>
    <w:rsid w:val="FDF72C12"/>
    <w:rsid w:val="FF3D8C22"/>
    <w:rsid w:val="FFB736B2"/>
    <w:rsid w:val="FFB9D61C"/>
    <w:rsid w:val="FFBF9FCB"/>
    <w:rsid w:val="FFE67365"/>
    <w:rsid w:val="FFFB27C0"/>
    <w:rsid w:val="FFFD67A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Emphasis"/>
    <w:basedOn w:val="12"/>
    <w:qFormat/>
    <w:uiPriority w:val="0"/>
    <w:rPr>
      <w:i/>
    </w:rPr>
  </w:style>
  <w:style w:type="character" w:styleId="15">
    <w:name w:val="Hyperlink"/>
    <w:qFormat/>
    <w:uiPriority w:val="0"/>
    <w:rPr>
      <w:color w:val="0068B7"/>
      <w:u w:val="none"/>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customStyle="1" w:styleId="19">
    <w:name w:val="列表段落1"/>
    <w:basedOn w:val="1"/>
    <w:qFormat/>
    <w:uiPriority w:val="34"/>
    <w:pPr>
      <w:ind w:firstLine="420" w:firstLineChars="200"/>
    </w:pPr>
  </w:style>
  <w:style w:type="paragraph" w:customStyle="1"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Pages>
  <Words>1929</Words>
  <Characters>2141</Characters>
  <Lines>18</Lines>
  <Paragraphs>5</Paragraphs>
  <TotalTime>0</TotalTime>
  <ScaleCrop>false</ScaleCrop>
  <LinksUpToDate>false</LinksUpToDate>
  <CharactersWithSpaces>2158</CharactersWithSpaces>
  <Application>WPS Office_5.5.0.7954_F1E327BC-269C-435d-A152-05C5408002CA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2021-06-06T02:15:00Z</dcterms:created>
  <dc:creator>全美国际教育协会</dc:creator>
  <cp:lastModifiedBy>谭谭</cp:lastModifiedBy>
  <cp:lastPrinted>2012-01-04T16:54:00Z</cp:lastPrinted>
  <dcterms:modified xsi:type="dcterms:W3CDTF">2025-09-10T17:12:56Z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2052-5.5.0.7954</vt:lpwstr>
  </property>
  <property fmtid="{D5CDD505-2E9C-101B-9397-08002B2CF9AE}" pid="3" name="ICV">
    <vt:lpwstr>775F61CF9F0E5C2DD8907B678C9907F0_43</vt:lpwstr>
  </property>
  <property fmtid="{D5CDD505-2E9C-101B-9397-08002B2CF9AE}" pid="4" name="KSOTemplateDocerSaveRecord">
    <vt:lpwstr>eyJoZGlkIjoiMGNjMDA1OTUzM2Y5NDY5MTRjNzkzNDYwY2VhYzcwZjQiLCJ1c2VySWQiOiIzOTg0NTg4OTYifQ==</vt:lpwstr>
  </property>
</Properties>
</file>