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6AFB1">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新加坡国立大学</w:t>
      </w:r>
    </w:p>
    <w:p w14:paraId="0F90C634">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14:paraId="0B359404">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eastAsia" w:asciiTheme="minorHAnsi" w:hAnsiTheme="minorHAnsi" w:eastAsiaTheme="majorEastAsia" w:cstheme="minorHAnsi"/>
          <w:b/>
          <w:kern w:val="0"/>
          <w:sz w:val="32"/>
          <w:szCs w:val="21"/>
          <w:lang w:val="en-US" w:eastAsia="zh-CN"/>
        </w:rPr>
        <w:t>5暑</w:t>
      </w:r>
      <w:r>
        <w:rPr>
          <w:rFonts w:hint="eastAsia" w:asciiTheme="minorHAnsi" w:hAnsiTheme="minorHAnsi" w:eastAsiaTheme="majorEastAsia" w:cstheme="minorHAnsi"/>
          <w:b/>
          <w:kern w:val="0"/>
          <w:sz w:val="32"/>
          <w:szCs w:val="21"/>
          <w:lang w:val="en-US" w:eastAsia="zh-Hans"/>
        </w:rPr>
        <w:t>假</w:t>
      </w:r>
      <w:r>
        <w:rPr>
          <w:rFonts w:hint="eastAsia" w:asciiTheme="minorHAnsi" w:hAnsiTheme="minorHAnsi" w:eastAsiaTheme="majorEastAsia" w:cstheme="minorHAnsi"/>
          <w:b/>
          <w:kern w:val="0"/>
          <w:sz w:val="32"/>
          <w:szCs w:val="21"/>
        </w:rPr>
        <w:t>“微生物组与癌症免疫疗法”访学项目</w:t>
      </w:r>
    </w:p>
    <w:p w14:paraId="17E36912">
      <w:pPr>
        <w:widowControl/>
        <w:spacing w:line="360" w:lineRule="auto"/>
        <w:jc w:val="center"/>
        <w:rPr>
          <w:rFonts w:hint="default" w:asciiTheme="minorHAnsi" w:hAnsiTheme="minorHAnsi" w:eastAsiaTheme="majorEastAsia" w:cstheme="minorHAnsi"/>
          <w:b/>
          <w:szCs w:val="21"/>
          <w:lang w:eastAsia="zh-CN"/>
          <w:woUserID w:val="2"/>
        </w:rPr>
      </w:pPr>
      <w:r>
        <w:rPr>
          <w:rFonts w:hint="eastAsia" w:asciiTheme="minorHAnsi" w:hAnsiTheme="minorHAnsi" w:eastAsiaTheme="majorEastAsia" w:cstheme="minorHAnsi"/>
          <w:b/>
          <w:szCs w:val="21"/>
          <w:lang w:val="en-US" w:eastAsia="zh-CN"/>
          <w:woUserID w:val="2"/>
        </w:rPr>
        <w:t>待定</w:t>
      </w:r>
    </w:p>
    <w:p w14:paraId="33557DAC">
      <w:pPr>
        <w:pStyle w:val="19"/>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11B28DC3">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Singapore），简称国大（NUS），</w:t>
      </w:r>
      <w:r>
        <w:rPr>
          <w:rFonts w:hint="eastAsia"/>
        </w:rPr>
        <w:t>始创于</w:t>
      </w:r>
      <w:r>
        <w:rPr>
          <w:rFonts w:hint="eastAsia" w:eastAsia="宋体" w:asciiTheme="minorHAnsi" w:hAnsiTheme="minorHAnsi" w:cstheme="minorHAnsi"/>
          <w:kern w:val="0"/>
          <w:szCs w:val="21"/>
        </w:rPr>
        <w:t>1905</w:t>
      </w:r>
      <w:r>
        <w:rPr>
          <w:rFonts w:hint="eastAsia"/>
        </w:rPr>
        <w:t>年，</w:t>
      </w:r>
      <w:r>
        <w:rPr>
          <w:rFonts w:hint="eastAsia" w:asciiTheme="minorHAnsi" w:hAnsiTheme="minorHAnsi" w:cstheme="minorHAnsi"/>
          <w:kern w:val="0"/>
          <w:szCs w:val="21"/>
        </w:rPr>
        <w:t>是新加坡首屈一指的世界级顶尖大学，</w:t>
      </w:r>
      <w:r>
        <w:rPr>
          <w:rFonts w:hint="eastAsia" w:eastAsia="宋体" w:asciiTheme="minorHAnsi" w:hAnsiTheme="minorHAnsi" w:cstheme="minorHAnsi"/>
          <w:kern w:val="0"/>
          <w:szCs w:val="21"/>
          <w:lang w:val="en-US" w:eastAsia="zh-Hans"/>
          <w:woUserID w:val="1"/>
        </w:rPr>
        <w:t>在</w:t>
      </w:r>
      <w:r>
        <w:rPr>
          <w:rFonts w:hint="eastAsia" w:eastAsia="宋体" w:asciiTheme="minorHAnsi" w:hAnsiTheme="minorHAnsi" w:cstheme="minorHAnsi"/>
          <w:kern w:val="0"/>
          <w:szCs w:val="21"/>
          <w:woUserID w:val="1"/>
        </w:rPr>
        <w:t>202</w:t>
      </w:r>
      <w:r>
        <w:rPr>
          <w:rFonts w:hint="eastAsia" w:asciiTheme="minorHAnsi" w:hAnsiTheme="minorHAnsi" w:cstheme="minorHAnsi"/>
          <w:kern w:val="0"/>
          <w:szCs w:val="21"/>
          <w:lang w:val="en-US" w:eastAsia="zh-CN"/>
          <w:woUserID w:val="1"/>
        </w:rPr>
        <w:t>5</w:t>
      </w:r>
      <w:r>
        <w:rPr>
          <w:rFonts w:hint="eastAsia" w:eastAsia="宋体" w:asciiTheme="minorHAnsi" w:hAnsiTheme="minorHAnsi" w:cstheme="minorHAnsi"/>
          <w:kern w:val="0"/>
          <w:szCs w:val="21"/>
          <w:woUserID w:val="1"/>
        </w:rPr>
        <w:t>Q</w:t>
      </w:r>
      <w:r>
        <w:rPr>
          <w:rFonts w:hint="eastAsia" w:asciiTheme="minorHAnsi" w:hAnsiTheme="minorHAnsi" w:cstheme="minorHAnsi"/>
          <w:kern w:val="0"/>
          <w:szCs w:val="21"/>
          <w:woUserID w:val="1"/>
        </w:rPr>
        <w:t>S</w:t>
      </w:r>
      <w:r>
        <w:rPr>
          <w:rFonts w:hint="default" w:asciiTheme="minorHAnsi" w:hAnsiTheme="minorHAnsi" w:cstheme="minorHAnsi"/>
          <w:kern w:val="0"/>
          <w:szCs w:val="21"/>
          <w:woUserID w:val="1"/>
        </w:rPr>
        <w:t>世界大学排名第8位，</w:t>
      </w:r>
      <w:r>
        <w:rPr>
          <w:rFonts w:hint="eastAsia" w:asciiTheme="minorHAnsi" w:hAnsiTheme="minorHAnsi" w:cstheme="minorHAnsi"/>
          <w:kern w:val="0"/>
          <w:szCs w:val="21"/>
          <w:woUserID w:val="1"/>
        </w:rPr>
        <w:t>亚洲大学排名第1位</w:t>
      </w:r>
      <w:r>
        <w:rPr>
          <w:rFonts w:hint="default" w:asciiTheme="minorHAnsi" w:hAnsiTheme="minorHAnsi" w:cstheme="minorHAnsi"/>
          <w:kern w:val="0"/>
          <w:szCs w:val="21"/>
          <w:woUserID w:val="1"/>
        </w:rPr>
        <w:t>。</w:t>
      </w:r>
    </w:p>
    <w:p w14:paraId="169A1B0C">
      <w:pPr>
        <w:widowControl/>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cstheme="minorHAnsi"/>
          <w:kern w:val="0"/>
          <w:szCs w:val="21"/>
          <w:lang w:eastAsia="zh-Hans"/>
        </w:rPr>
        <w:t>“微生物组与癌症免疫疗法”访学项目</w:t>
      </w:r>
      <w:r>
        <w:rPr>
          <w:rFonts w:hint="eastAsia" w:asciiTheme="minorHAnsi" w:hAnsiTheme="minorHAnsi" w:cstheme="minorHAnsi"/>
          <w:kern w:val="0"/>
          <w:szCs w:val="21"/>
        </w:rPr>
        <w:t>课程由</w:t>
      </w:r>
      <w:r>
        <w:rPr>
          <w:rFonts w:hint="eastAsia"/>
          <w:lang w:val="en-US" w:eastAsia="zh-Hans"/>
        </w:rPr>
        <w:t>新加坡国立大学顶尖导师授课</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w:t>
      </w:r>
      <w:r>
        <w:rPr>
          <w:rFonts w:hint="eastAsia" w:asciiTheme="minorHAnsi" w:hAnsiTheme="minorHAnsi" w:cstheme="minorHAnsi"/>
          <w:kern w:val="0"/>
          <w:szCs w:val="21"/>
          <w:lang w:val="en-US" w:eastAsia="zh-Hans"/>
        </w:rPr>
        <w:t>深入体验世界一流大学的学术氛围</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在提高专业知识的同时全面锻炼英语听说读写综合水平</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收获国大官方项目证书</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项目同时安排有丰富的文化参访活动</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充分领略新加坡城市风光与文化社会环境</w:t>
      </w:r>
      <w:r>
        <w:rPr>
          <w:rFonts w:hint="default" w:asciiTheme="minorHAnsi" w:hAnsiTheme="minorHAnsi" w:cstheme="minorHAnsi"/>
          <w:kern w:val="0"/>
          <w:szCs w:val="21"/>
          <w:lang w:eastAsia="zh-Hans"/>
        </w:rPr>
        <w:t>。</w:t>
      </w:r>
    </w:p>
    <w:p w14:paraId="22955292">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147955</wp:posOffset>
            </wp:positionV>
            <wp:extent cx="5756275" cy="2881630"/>
            <wp:effectExtent l="0" t="0" r="9525" b="139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14:paraId="31919B73">
      <w:pPr>
        <w:widowControl/>
        <w:spacing w:line="360" w:lineRule="auto"/>
        <w:jc w:val="left"/>
        <w:rPr>
          <w:rFonts w:asciiTheme="minorHAnsi" w:hAnsiTheme="minorHAnsi" w:eastAsiaTheme="majorEastAsia" w:cstheme="minorHAnsi"/>
          <w:b/>
          <w:bCs/>
          <w:kern w:val="0"/>
          <w:szCs w:val="21"/>
        </w:rPr>
      </w:pPr>
    </w:p>
    <w:p w14:paraId="600C10C7">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5E469CA0">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14:paraId="767929C2">
      <w:pPr>
        <w:pStyle w:val="19"/>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14:paraId="27C07BB6">
      <w:pPr>
        <w:pStyle w:val="19"/>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val="en-US" w:eastAsia="zh-Hans"/>
        </w:rPr>
        <w:t>文化参访</w:t>
      </w: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val="en-US" w:eastAsia="zh-Hans"/>
        </w:rPr>
        <w:t>丰富的文化参访活动</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深入体验新加坡风土人情与城市魅力</w:t>
      </w:r>
      <w:r>
        <w:rPr>
          <w:rFonts w:hint="default" w:asciiTheme="minorHAnsi" w:hAnsiTheme="minorHAnsi" w:eastAsiaTheme="majorEastAsia" w:cstheme="minorHAnsi"/>
          <w:kern w:val="0"/>
          <w:szCs w:val="21"/>
          <w:lang w:eastAsia="zh-Hans"/>
        </w:rPr>
        <w:t>；</w:t>
      </w:r>
    </w:p>
    <w:p w14:paraId="4604D5F1">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default" w:asciiTheme="minorHAnsi" w:hAnsiTheme="minorHAnsi" w:eastAsiaTheme="majorEastAsia" w:cstheme="minorHAnsi"/>
          <w:b/>
          <w:bCs/>
          <w:kern w:val="0"/>
          <w:szCs w:val="21"/>
          <w:woUserID w:val="2"/>
        </w:rPr>
        <w:t>成绩单/</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与成绩单，</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14:paraId="58CCCDD9">
      <w:pPr>
        <w:pStyle w:val="19"/>
        <w:widowControl/>
        <w:spacing w:line="360" w:lineRule="auto"/>
        <w:ind w:left="840" w:firstLine="0" w:firstLineChars="0"/>
        <w:jc w:val="left"/>
        <w:rPr>
          <w:rFonts w:asciiTheme="minorHAnsi" w:hAnsiTheme="minorHAnsi" w:eastAsiaTheme="majorEastAsia" w:cstheme="minorHAnsi"/>
          <w:b/>
          <w:bCs/>
          <w:kern w:val="0"/>
          <w:szCs w:val="21"/>
        </w:rPr>
      </w:pPr>
    </w:p>
    <w:p w14:paraId="1696ADCE">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14:paraId="4818D330">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p>
    <w:p w14:paraId="354241F3">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eastAsia" w:asciiTheme="minorHAnsi" w:hAnsiTheme="minorHAnsi" w:cstheme="minorHAnsi"/>
          <w:kern w:val="0"/>
          <w:szCs w:val="21"/>
          <w:lang w:val="en-US" w:eastAsia="zh-CN"/>
        </w:rPr>
        <w:t>5</w:t>
      </w:r>
      <w:r>
        <w:rPr>
          <w:rFonts w:hint="eastAsia" w:asciiTheme="minorHAnsi" w:hAnsiTheme="minorHAnsi" w:cstheme="minorHAnsi"/>
          <w:kern w:val="0"/>
          <w:szCs w:val="21"/>
        </w:rPr>
        <w:t>QS世界大学排名第</w:t>
      </w:r>
      <w:r>
        <w:rPr>
          <w:rFonts w:hint="default" w:asciiTheme="minorHAnsi" w:hAnsiTheme="minorHAnsi" w:cstheme="minorHAnsi"/>
          <w:kern w:val="0"/>
          <w:szCs w:val="21"/>
        </w:rPr>
        <w:t>8</w:t>
      </w:r>
      <w:r>
        <w:rPr>
          <w:rFonts w:hint="eastAsia" w:asciiTheme="minorHAnsi" w:hAnsiTheme="minorHAnsi" w:cstheme="minorHAnsi"/>
          <w:kern w:val="0"/>
          <w:szCs w:val="21"/>
        </w:rPr>
        <w:t>位，</w:t>
      </w:r>
      <w:r>
        <w:rPr>
          <w:rFonts w:hint="eastAsia" w:asciiTheme="minorHAnsi" w:hAnsiTheme="minorHAnsi" w:cstheme="minorHAnsi"/>
          <w:kern w:val="0"/>
          <w:szCs w:val="21"/>
          <w:woUserID w:val="1"/>
        </w:rPr>
        <w:t>亚洲大学排名第1位；</w:t>
      </w:r>
    </w:p>
    <w:p w14:paraId="2DB48C3A">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Hans"/>
        </w:rPr>
        <w:t>新加坡国立大学进入世界前</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的专业包括传媒</w:t>
      </w:r>
      <w:r>
        <w:rPr>
          <w:rFonts w:asciiTheme="minorHAnsi" w:hAnsiTheme="minorHAnsi" w:eastAsiaTheme="majorEastAsia" w:cstheme="minorHAnsi"/>
          <w:kern w:val="0"/>
          <w:szCs w:val="21"/>
          <w:lang w:eastAsia="zh-Hans"/>
        </w:rPr>
        <w:t>（4）、</w:t>
      </w:r>
      <w:r>
        <w:rPr>
          <w:rFonts w:hint="eastAsia" w:asciiTheme="minorHAnsi" w:hAnsiTheme="minorHAnsi" w:eastAsiaTheme="majorEastAsia" w:cstheme="minorHAnsi"/>
          <w:kern w:val="0"/>
          <w:szCs w:val="21"/>
          <w:lang w:eastAsia="zh-Hans"/>
        </w:rPr>
        <w:t>统计学与运营管理</w:t>
      </w:r>
      <w:r>
        <w:rPr>
          <w:rFonts w:asciiTheme="minorHAnsi" w:hAnsiTheme="minorHAnsi" w:eastAsiaTheme="majorEastAsia" w:cstheme="minorHAnsi"/>
          <w:kern w:val="0"/>
          <w:szCs w:val="21"/>
          <w:lang w:eastAsia="zh-Hans"/>
        </w:rPr>
        <w:t>（5）、</w:t>
      </w:r>
      <w:r>
        <w:rPr>
          <w:rFonts w:hint="eastAsia" w:asciiTheme="minorHAnsi" w:hAnsiTheme="minorHAnsi" w:eastAsiaTheme="majorEastAsia" w:cstheme="minorHAnsi"/>
          <w:kern w:val="0"/>
          <w:szCs w:val="21"/>
          <w:lang w:eastAsia="zh-Hans"/>
        </w:rPr>
        <w:t>化学工程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材料科学</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机械工程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药学</w:t>
      </w:r>
      <w:r>
        <w:rPr>
          <w:rFonts w:asciiTheme="minorHAnsi" w:hAnsiTheme="minorHAnsi" w:eastAsiaTheme="majorEastAsia" w:cstheme="minorHAnsi"/>
          <w:kern w:val="0"/>
          <w:szCs w:val="21"/>
          <w:lang w:eastAsia="zh-Hans"/>
        </w:rPr>
        <w:t>（7）、</w:t>
      </w:r>
      <w:r>
        <w:rPr>
          <w:rFonts w:hint="eastAsia" w:asciiTheme="minorHAnsi" w:hAnsiTheme="minorHAnsi" w:eastAsiaTheme="majorEastAsia" w:cstheme="minorHAnsi"/>
          <w:kern w:val="0"/>
          <w:szCs w:val="21"/>
          <w:lang w:eastAsia="zh-Hans"/>
        </w:rPr>
        <w:t>计算机科学</w:t>
      </w:r>
      <w:r>
        <w:rPr>
          <w:rFonts w:asciiTheme="minorHAnsi" w:hAnsiTheme="minorHAnsi" w:eastAsiaTheme="majorEastAsia" w:cstheme="minorHAnsi"/>
          <w:kern w:val="0"/>
          <w:szCs w:val="21"/>
          <w:lang w:eastAsia="zh-Hans"/>
        </w:rPr>
        <w:t>（</w:t>
      </w:r>
      <w:r>
        <w:rPr>
          <w:rFonts w:asciiTheme="minorHAnsi" w:hAnsiTheme="minorHAnsi" w:eastAsiaTheme="majorEastAsia" w:cstheme="minorHAnsi"/>
          <w:kern w:val="0"/>
          <w:szCs w:val="21"/>
          <w:lang w:eastAsia="zh-Hans"/>
          <w:woUserID w:val="2"/>
        </w:rPr>
        <w:t>6</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地理学</w:t>
      </w:r>
      <w:r>
        <w:rPr>
          <w:rFonts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eastAsia="zh-Hans"/>
        </w:rPr>
        <w:t>现代语言学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数学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电气工程</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政治学</w:t>
      </w:r>
      <w:r>
        <w:rPr>
          <w:rFonts w:asciiTheme="minorHAnsi" w:hAnsiTheme="minorHAnsi" w:eastAsiaTheme="majorEastAsia" w:cstheme="minorHAnsi"/>
          <w:kern w:val="0"/>
          <w:szCs w:val="21"/>
          <w:lang w:eastAsia="zh-Hans"/>
        </w:rPr>
        <w:t>（10）。</w:t>
      </w:r>
    </w:p>
    <w:p w14:paraId="618D373C">
      <w:pPr>
        <w:spacing w:line="360" w:lineRule="auto"/>
        <w:rPr>
          <w:rFonts w:asciiTheme="minorHAnsi" w:hAnsiTheme="minorHAnsi" w:eastAsiaTheme="majorEastAsia" w:cstheme="minorHAnsi"/>
          <w:kern w:val="0"/>
          <w:szCs w:val="21"/>
        </w:rPr>
      </w:pPr>
    </w:p>
    <w:p w14:paraId="199CFF2A">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69A9D779">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14:paraId="75DAE57B">
      <w:pPr>
        <w:spacing w:line="360" w:lineRule="auto"/>
        <w:rPr>
          <w:rFonts w:hint="default" w:asciiTheme="minorHAnsi" w:hAnsiTheme="minorHAnsi" w:eastAsiaTheme="majorEastAsia" w:cstheme="minorHAnsi"/>
          <w:szCs w:val="21"/>
          <w:highlight w:val="none"/>
          <w:lang w:eastAsia="zh-CN"/>
          <w:woUserID w:val="2"/>
        </w:rPr>
      </w:pPr>
      <w:r>
        <w:rPr>
          <w:rFonts w:hint="eastAsia" w:asciiTheme="minorHAnsi" w:hAnsiTheme="minorHAnsi" w:eastAsiaTheme="majorEastAsia" w:cstheme="minorHAnsi"/>
          <w:szCs w:val="21"/>
          <w:highlight w:val="none"/>
          <w:lang w:val="en-US" w:eastAsia="zh-CN"/>
          <w:woUserID w:val="2"/>
        </w:rPr>
        <w:t>待定</w:t>
      </w:r>
    </w:p>
    <w:p w14:paraId="5173D0BB">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733EF954">
      <w:pPr>
        <w:numPr>
          <w:ilvl w:val="0"/>
          <w:numId w:val="0"/>
        </w:numPr>
        <w:spacing w:line="360" w:lineRule="auto"/>
        <w:ind w:leftChars="0" w:firstLine="420" w:firstLineChars="0"/>
        <w:rPr>
          <w:rFonts w:hint="default" w:cs="Calibri" w:asciiTheme="minorHAnsi" w:hAnsiTheme="minorHAnsi"/>
          <w:szCs w:val="21"/>
        </w:rPr>
      </w:pPr>
      <w:r>
        <w:rPr>
          <w:rFonts w:hint="eastAsia" w:cs="Calibri" w:asciiTheme="minorHAnsi" w:hAnsiTheme="minorHAnsi"/>
          <w:szCs w:val="21"/>
          <w:lang w:val="en-US" w:eastAsia="zh-CN"/>
        </w:rPr>
        <w:t>本项目</w:t>
      </w:r>
      <w:r>
        <w:rPr>
          <w:rFonts w:hint="default" w:cs="Calibri" w:asciiTheme="minorHAnsi" w:hAnsiTheme="minorHAnsi"/>
          <w:szCs w:val="21"/>
        </w:rPr>
        <w:t>旨在探索微生物组与免疫系统之间的复杂关系及其在癌症诊断和治疗中的应用。学生将深入了解微生物组如何影响免疫调节和抗肿瘤免疫反应，掌握最前沿的下一代测序（NGS）技术，以及现代癌症免疫疗法的核心概念和实验设计方法。</w:t>
      </w:r>
    </w:p>
    <w:p w14:paraId="7F0EDD71">
      <w:pPr>
        <w:numPr>
          <w:ilvl w:val="0"/>
          <w:numId w:val="0"/>
        </w:numPr>
        <w:spacing w:line="360" w:lineRule="auto"/>
        <w:ind w:leftChars="0" w:firstLine="420" w:firstLineChars="0"/>
        <w:rPr>
          <w:rFonts w:hint="default" w:cs="Calibri" w:asciiTheme="minorHAnsi" w:hAnsiTheme="minorHAnsi"/>
          <w:szCs w:val="21"/>
        </w:rPr>
      </w:pPr>
      <w:r>
        <w:rPr>
          <w:rFonts w:hint="default" w:cs="Calibri" w:asciiTheme="minorHAnsi" w:hAnsiTheme="minorHAnsi"/>
          <w:szCs w:val="21"/>
        </w:rPr>
        <w:t>让学生在全面了解癌症免疫治疗领域最新进展的同时，锻炼科研思维和团队协作能力。本课程不仅为学生未来的医学研究和临床实践奠定坚实基础，更激发他们探索生命科学前沿的热情。</w:t>
      </w:r>
    </w:p>
    <w:p w14:paraId="577FB1A5">
      <w:pPr>
        <w:spacing w:line="360" w:lineRule="auto"/>
        <w:ind w:left="0" w:leftChars="0" w:firstLine="0" w:firstLineChars="0"/>
        <w:rPr>
          <w:rFonts w:hint="default" w:cs="Calibri" w:asciiTheme="minorHAnsi" w:hAnsiTheme="minorHAnsi"/>
          <w:b/>
          <w:bCs/>
          <w:i/>
          <w:iCs/>
          <w:szCs w:val="21"/>
          <w:lang w:eastAsia="zh-Hans"/>
        </w:rPr>
      </w:pPr>
      <w:r>
        <w:rPr>
          <w:rFonts w:hint="eastAsia" w:cs="Calibri" w:asciiTheme="minorHAnsi" w:hAnsiTheme="minorHAnsi"/>
          <w:b/>
          <w:bCs/>
          <w:i/>
          <w:iCs/>
          <w:szCs w:val="21"/>
          <w:lang w:val="en-US" w:eastAsia="zh-Hans"/>
        </w:rPr>
        <w:t>参考日程</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仅供参考</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以实际安排为准</w:t>
      </w:r>
      <w:r>
        <w:rPr>
          <w:rFonts w:hint="default" w:cs="Calibri" w:asciiTheme="minorHAnsi" w:hAnsiTheme="minorHAnsi"/>
          <w:b/>
          <w:bCs/>
          <w:i/>
          <w:iCs/>
          <w:szCs w:val="21"/>
          <w:lang w:eastAsia="zh-Hans"/>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657"/>
      </w:tblGrid>
      <w:tr w14:paraId="78347553">
        <w:tc>
          <w:tcPr>
            <w:tcW w:w="1865" w:type="dxa"/>
            <w:vAlign w:val="top"/>
          </w:tcPr>
          <w:p w14:paraId="15F4D4CA">
            <w:pPr>
              <w:numPr>
                <w:ilvl w:val="0"/>
                <w:numId w:val="0"/>
              </w:numPr>
              <w:spacing w:line="360" w:lineRule="auto"/>
              <w:ind w:left="0" w:leftChars="0" w:firstLine="0" w:firstLineChars="0"/>
              <w:jc w:val="center"/>
              <w:rPr>
                <w:rFonts w:hint="default" w:cs="Calibri" w:asciiTheme="minorHAnsi" w:hAnsiTheme="minorHAnsi"/>
                <w:szCs w:val="21"/>
                <w:vertAlign w:val="baseline"/>
                <w:lang w:eastAsia="zh-Hans"/>
                <w:woUserID w:val="2"/>
              </w:rPr>
            </w:pPr>
            <w:r>
              <w:rPr>
                <w:rFonts w:hint="eastAsia" w:cs="Calibri" w:asciiTheme="minorHAnsi" w:hAnsiTheme="minorHAnsi"/>
                <w:szCs w:val="21"/>
                <w:vertAlign w:val="baseline"/>
                <w:lang w:val="en-US" w:eastAsia="zh-Hans"/>
              </w:rPr>
              <w:t>周六</w:t>
            </w:r>
          </w:p>
        </w:tc>
        <w:tc>
          <w:tcPr>
            <w:tcW w:w="6657" w:type="dxa"/>
            <w:vAlign w:val="top"/>
          </w:tcPr>
          <w:p w14:paraId="123C9C8E">
            <w:pPr>
              <w:numPr>
                <w:ilvl w:val="0"/>
                <w:numId w:val="0"/>
              </w:numPr>
              <w:spacing w:line="360" w:lineRule="auto"/>
              <w:ind w:left="0" w:leftChars="0" w:firstLine="0" w:firstLineChars="0"/>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出发</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抵达新加坡</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接机送至</w:t>
            </w:r>
            <w:r>
              <w:rPr>
                <w:rFonts w:hint="default" w:asciiTheme="minorHAnsi" w:hAnsiTheme="minorHAnsi"/>
                <w:szCs w:val="21"/>
                <w:vertAlign w:val="baseline"/>
                <w:lang w:eastAsia="zh-Hans"/>
              </w:rPr>
              <w:t>酒店，</w:t>
            </w:r>
            <w:r>
              <w:rPr>
                <w:rFonts w:hint="eastAsia" w:asciiTheme="minorHAnsi" w:hAnsiTheme="minorHAnsi"/>
                <w:szCs w:val="21"/>
                <w:vertAlign w:val="baseline"/>
                <w:lang w:val="en-US" w:eastAsia="zh-Hans"/>
              </w:rPr>
              <w:t>电话卡地铁卡等常用物品介绍</w:t>
            </w:r>
          </w:p>
        </w:tc>
      </w:tr>
      <w:tr w14:paraId="389686BB">
        <w:tc>
          <w:tcPr>
            <w:tcW w:w="1865" w:type="dxa"/>
            <w:vAlign w:val="top"/>
          </w:tcPr>
          <w:p w14:paraId="1D66AA90">
            <w:pPr>
              <w:numPr>
                <w:ilvl w:val="0"/>
                <w:numId w:val="0"/>
              </w:numPr>
              <w:spacing w:line="360" w:lineRule="auto"/>
              <w:ind w:left="0" w:leftChars="0" w:firstLine="0" w:firstLineChars="0"/>
              <w:jc w:val="center"/>
              <w:rPr>
                <w:rFonts w:hint="default" w:cs="Calibri" w:asciiTheme="minorHAnsi" w:hAnsiTheme="minorHAnsi"/>
                <w:szCs w:val="21"/>
                <w:vertAlign w:val="baseline"/>
                <w:lang w:eastAsia="zh-Hans"/>
                <w:woUserID w:val="2"/>
              </w:rPr>
            </w:pPr>
            <w:r>
              <w:rPr>
                <w:rFonts w:hint="eastAsia" w:cs="Calibri" w:asciiTheme="minorHAnsi" w:hAnsiTheme="minorHAnsi"/>
                <w:szCs w:val="21"/>
                <w:vertAlign w:val="baseline"/>
                <w:lang w:val="en-US" w:eastAsia="zh-Hans"/>
              </w:rPr>
              <w:t>周日</w:t>
            </w:r>
          </w:p>
        </w:tc>
        <w:tc>
          <w:tcPr>
            <w:tcW w:w="6657" w:type="dxa"/>
            <w:vAlign w:val="top"/>
          </w:tcPr>
          <w:p w14:paraId="40A19E9D">
            <w:pPr>
              <w:numPr>
                <w:ilvl w:val="0"/>
                <w:numId w:val="0"/>
              </w:numPr>
              <w:spacing w:line="360" w:lineRule="auto"/>
              <w:ind w:left="0" w:leftChars="0" w:firstLine="0" w:firstLineChars="0"/>
              <w:rPr>
                <w:rFonts w:hint="default" w:asciiTheme="minorHAnsi" w:hAnsiTheme="minorHAnsi"/>
                <w:szCs w:val="21"/>
                <w:vertAlign w:val="baseline"/>
                <w:lang w:val="en-US" w:eastAsia="zh-Hans"/>
              </w:rPr>
            </w:pPr>
            <w:r>
              <w:rPr>
                <w:rFonts w:hint="eastAsia" w:asciiTheme="minorHAnsi" w:hAnsiTheme="minorHAnsi"/>
                <w:szCs w:val="21"/>
                <w:vertAlign w:val="baseline"/>
                <w:lang w:val="en-US" w:eastAsia="zh-Hans"/>
              </w:rPr>
              <w:t>文化参访</w:t>
            </w:r>
          </w:p>
        </w:tc>
      </w:tr>
      <w:tr w14:paraId="5826F788">
        <w:tc>
          <w:tcPr>
            <w:tcW w:w="1094" w:type="pct"/>
            <w:vAlign w:val="top"/>
          </w:tcPr>
          <w:p w14:paraId="59A26C38">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一</w:t>
            </w:r>
          </w:p>
        </w:tc>
        <w:tc>
          <w:tcPr>
            <w:tcW w:w="3905" w:type="pct"/>
          </w:tcPr>
          <w:p w14:paraId="3692495B">
            <w:pPr>
              <w:numPr>
                <w:ilvl w:val="0"/>
                <w:numId w:val="3"/>
              </w:numPr>
              <w:spacing w:line="360" w:lineRule="auto"/>
              <w:ind w:left="420" w:leftChars="0" w:hanging="420" w:firstLineChars="0"/>
              <w:rPr>
                <w:rFonts w:hint="default" w:asciiTheme="minorHAnsi" w:hAnsiTheme="minorHAnsi"/>
                <w:szCs w:val="21"/>
                <w:vertAlign w:val="baseline"/>
                <w:lang w:eastAsia="zh-Hans"/>
                <w:woUserID w:val="2"/>
              </w:rPr>
            </w:pPr>
            <w:r>
              <w:rPr>
                <w:rFonts w:hint="eastAsia" w:cs="Calibri" w:asciiTheme="minorHAnsi" w:hAnsiTheme="minorHAnsi"/>
                <w:szCs w:val="21"/>
                <w:lang w:val="en-US" w:eastAsia="zh-Hans"/>
              </w:rPr>
              <w:t>开课迎新会</w:t>
            </w:r>
          </w:p>
          <w:p w14:paraId="672007B5">
            <w:pPr>
              <w:numPr>
                <w:ilvl w:val="0"/>
                <w:numId w:val="3"/>
              </w:numPr>
              <w:spacing w:line="360" w:lineRule="auto"/>
              <w:ind w:left="420" w:leftChars="0" w:hanging="420" w:firstLineChars="0"/>
              <w:rPr>
                <w:rFonts w:hint="default" w:asciiTheme="minorHAnsi" w:hAnsiTheme="minorHAnsi"/>
                <w:szCs w:val="21"/>
                <w:vertAlign w:val="baseline"/>
                <w:lang w:eastAsia="zh-Hans"/>
                <w:woUserID w:val="2"/>
              </w:rPr>
            </w:pPr>
            <w:r>
              <w:rPr>
                <w:rFonts w:hint="default" w:asciiTheme="minorHAnsi" w:hAnsiTheme="minorHAnsi"/>
                <w:szCs w:val="21"/>
                <w:vertAlign w:val="baseline"/>
                <w:lang w:eastAsia="zh-Hans"/>
                <w:woUserID w:val="2"/>
              </w:rPr>
              <w:t>微生物组、免疫与癌症</w:t>
            </w:r>
          </w:p>
          <w:p w14:paraId="622CA011">
            <w:pPr>
              <w:numPr>
                <w:ilvl w:val="0"/>
                <w:numId w:val="4"/>
              </w:numPr>
              <w:spacing w:line="360" w:lineRule="auto"/>
              <w:ind w:left="420" w:leftChars="0" w:hanging="420" w:firstLineChars="0"/>
              <w:rPr>
                <w:rFonts w:hint="default" w:asciiTheme="minorHAnsi" w:hAnsiTheme="minorHAnsi"/>
                <w:szCs w:val="21"/>
                <w:vertAlign w:val="baseline"/>
                <w:lang w:eastAsia="zh-Hans"/>
                <w:woUserID w:val="2"/>
              </w:rPr>
            </w:pPr>
            <w:r>
              <w:rPr>
                <w:rFonts w:hint="default" w:asciiTheme="minorHAnsi" w:hAnsiTheme="minorHAnsi"/>
                <w:szCs w:val="21"/>
                <w:vertAlign w:val="baseline"/>
                <w:lang w:eastAsia="zh-Hans"/>
                <w:woUserID w:val="2"/>
              </w:rPr>
              <w:t>微生物组在免疫中的免疫激活和调节功能。</w:t>
            </w:r>
          </w:p>
          <w:p w14:paraId="57F61653">
            <w:pPr>
              <w:numPr>
                <w:ilvl w:val="0"/>
                <w:numId w:val="4"/>
              </w:numPr>
              <w:spacing w:line="360" w:lineRule="auto"/>
              <w:ind w:left="420" w:leftChars="0" w:hanging="420" w:firstLineChars="0"/>
              <w:rPr>
                <w:rFonts w:hint="default" w:asciiTheme="minorHAnsi" w:hAnsiTheme="minorHAnsi"/>
                <w:szCs w:val="21"/>
                <w:vertAlign w:val="baseline"/>
                <w:lang w:eastAsia="zh-Hans"/>
                <w:woUserID w:val="2"/>
              </w:rPr>
            </w:pPr>
            <w:r>
              <w:rPr>
                <w:rFonts w:hint="default" w:asciiTheme="minorHAnsi" w:hAnsiTheme="minorHAnsi"/>
                <w:szCs w:val="21"/>
                <w:vertAlign w:val="baseline"/>
                <w:lang w:eastAsia="zh-Hans"/>
                <w:woUserID w:val="2"/>
              </w:rPr>
              <w:t>微生物组与癌症的关联。</w:t>
            </w:r>
          </w:p>
          <w:p w14:paraId="488AF243">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woUserID w:val="2"/>
              </w:rPr>
              <w:t>针对微生物组进行癌症诊断与治疗的潜力。</w:t>
            </w:r>
          </w:p>
          <w:p w14:paraId="77D8BDA2">
            <w:pPr>
              <w:numPr>
                <w:ilvl w:val="0"/>
                <w:numId w:val="5"/>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肠道寄生虫对肠道微生物组的影响</w:t>
            </w:r>
          </w:p>
          <w:p w14:paraId="79760E37">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作为单细胞真核生物（SCEs）的肠道原生动物介绍。</w:t>
            </w:r>
          </w:p>
          <w:p w14:paraId="072B756E">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研究SCEs作为微生物组组成部分的实验方法。</w:t>
            </w:r>
          </w:p>
          <w:p w14:paraId="2250F559">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当前理解对肠道健康和疾病的影响。</w:t>
            </w:r>
          </w:p>
        </w:tc>
      </w:tr>
      <w:tr w14:paraId="5774588F">
        <w:tc>
          <w:tcPr>
            <w:tcW w:w="1094" w:type="pct"/>
            <w:vAlign w:val="top"/>
          </w:tcPr>
          <w:p w14:paraId="16C8019E">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woUserID w:val="2"/>
              </w:rPr>
              <w:t>二</w:t>
            </w:r>
          </w:p>
        </w:tc>
        <w:tc>
          <w:tcPr>
            <w:tcW w:w="3905" w:type="pct"/>
          </w:tcPr>
          <w:p w14:paraId="6B811A9D">
            <w:pPr>
              <w:numPr>
                <w:ilvl w:val="0"/>
                <w:numId w:val="6"/>
              </w:numPr>
              <w:spacing w:line="360" w:lineRule="auto"/>
              <w:ind w:left="420" w:leftChars="0" w:hanging="420" w:firstLineChars="0"/>
              <w:rPr>
                <w:rFonts w:hint="default" w:cs="Calibri" w:asciiTheme="minorHAnsi" w:hAnsiTheme="minorHAnsi"/>
                <w:szCs w:val="21"/>
                <w:vertAlign w:val="baseline"/>
                <w:lang w:eastAsia="zh-Hans"/>
                <w:woUserID w:val="2"/>
              </w:rPr>
            </w:pPr>
            <w:r>
              <w:rPr>
                <w:rFonts w:hint="default" w:cs="Calibri" w:asciiTheme="minorHAnsi" w:hAnsiTheme="minorHAnsi"/>
                <w:szCs w:val="21"/>
                <w:vertAlign w:val="baseline"/>
                <w:lang w:eastAsia="zh-Hans"/>
                <w:woUserID w:val="2"/>
              </w:rPr>
              <w:t>微生物组分析的NGS工作流程</w:t>
            </w:r>
          </w:p>
          <w:p w14:paraId="7DF8D45A">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微生物组分析的下一代测序（NGS）工作流程概述。</w:t>
            </w:r>
          </w:p>
          <w:p w14:paraId="0C913E33">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NGS样本准备。</w:t>
            </w:r>
          </w:p>
          <w:p w14:paraId="3CC5BAD6">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数据分析的资源与工具</w:t>
            </w:r>
          </w:p>
        </w:tc>
      </w:tr>
      <w:tr w14:paraId="7466BE54">
        <w:tc>
          <w:tcPr>
            <w:tcW w:w="1094" w:type="pct"/>
            <w:vAlign w:val="top"/>
          </w:tcPr>
          <w:p w14:paraId="23D8A288">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woUserID w:val="2"/>
              </w:rPr>
              <w:t>三</w:t>
            </w:r>
          </w:p>
        </w:tc>
        <w:tc>
          <w:tcPr>
            <w:tcW w:w="3905" w:type="pct"/>
          </w:tcPr>
          <w:p w14:paraId="53F6F13F">
            <w:pPr>
              <w:numPr>
                <w:ilvl w:val="0"/>
                <w:numId w:val="8"/>
              </w:numPr>
              <w:spacing w:line="360" w:lineRule="auto"/>
              <w:ind w:left="420" w:leftChars="0" w:hanging="420" w:firstLineChars="0"/>
              <w:rPr>
                <w:rFonts w:hint="default" w:cs="Calibri" w:asciiTheme="minorHAnsi" w:hAnsiTheme="minorHAnsi"/>
                <w:szCs w:val="21"/>
                <w:vertAlign w:val="baseline"/>
                <w:lang w:eastAsia="zh-Hans"/>
                <w:woUserID w:val="2"/>
              </w:rPr>
            </w:pPr>
            <w:r>
              <w:rPr>
                <w:rFonts w:hint="default" w:cs="Calibri" w:asciiTheme="minorHAnsi" w:hAnsiTheme="minorHAnsi"/>
                <w:szCs w:val="21"/>
                <w:vertAlign w:val="baseline"/>
                <w:lang w:eastAsia="zh-Hans"/>
                <w:woUserID w:val="2"/>
              </w:rPr>
              <w:t>免疫监视与抗肿瘤免疫</w:t>
            </w:r>
          </w:p>
          <w:p w14:paraId="7EE18048">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抗肿瘤免疫反应的证据。</w:t>
            </w:r>
          </w:p>
          <w:p w14:paraId="3C991BA1">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肿瘤抗原的概念。</w:t>
            </w:r>
          </w:p>
          <w:p w14:paraId="5326FA48">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抗肿瘤免疫机制。</w:t>
            </w:r>
          </w:p>
          <w:p w14:paraId="22CD5058">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肿瘤微环境的影响。</w:t>
            </w:r>
          </w:p>
          <w:p w14:paraId="5D3E0C01">
            <w:pPr>
              <w:numPr>
                <w:ilvl w:val="0"/>
                <w:numId w:val="10"/>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评估免疫激活的当前技术</w:t>
            </w:r>
          </w:p>
          <w:p w14:paraId="058CC659">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流式细胞术（Flow Cytometry）。</w:t>
            </w:r>
          </w:p>
          <w:p w14:paraId="7C129064">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T细胞增殖实验。</w:t>
            </w:r>
          </w:p>
          <w:p w14:paraId="0B8391A3">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T细胞毒性检测。</w:t>
            </w:r>
          </w:p>
          <w:p w14:paraId="1F374BA9">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ELISA技术应用。</w:t>
            </w:r>
          </w:p>
          <w:p w14:paraId="0DB61391">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Crispr/Cas9体内外筛选。</w:t>
            </w:r>
          </w:p>
          <w:p w14:paraId="26441F44">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单细胞测序实验设计及讨论。</w:t>
            </w:r>
          </w:p>
        </w:tc>
      </w:tr>
      <w:tr w14:paraId="4643CAAE">
        <w:tc>
          <w:tcPr>
            <w:tcW w:w="1094" w:type="pct"/>
            <w:vAlign w:val="top"/>
          </w:tcPr>
          <w:p w14:paraId="2BC137C3">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woUserID w:val="2"/>
              </w:rPr>
              <w:t>四</w:t>
            </w:r>
          </w:p>
        </w:tc>
        <w:tc>
          <w:tcPr>
            <w:tcW w:w="3905" w:type="pct"/>
          </w:tcPr>
          <w:p w14:paraId="369EB9AE">
            <w:pPr>
              <w:numPr>
                <w:ilvl w:val="0"/>
                <w:numId w:val="11"/>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癌症免疫疗法（一）：抗体疗法</w:t>
            </w:r>
          </w:p>
          <w:p w14:paraId="1F3905AD">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抗体技术的应用。</w:t>
            </w:r>
          </w:p>
          <w:p w14:paraId="483EA02F">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使用抗体的癌症免疫疗法。</w:t>
            </w:r>
          </w:p>
          <w:p w14:paraId="440BFF0F">
            <w:pPr>
              <w:numPr>
                <w:ilvl w:val="0"/>
                <w:numId w:val="1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癌症免疫疗法（二）：细胞治疗</w:t>
            </w:r>
          </w:p>
          <w:p w14:paraId="3F24229C">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NK细胞疗法。</w:t>
            </w:r>
          </w:p>
          <w:p w14:paraId="5BE3F971">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肿瘤浸润淋巴细胞疗法。</w:t>
            </w:r>
          </w:p>
          <w:p w14:paraId="7FA357C5">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TCR疗法。</w:t>
            </w:r>
          </w:p>
          <w:p w14:paraId="10F07A12">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CAR-T细胞疗法。</w:t>
            </w:r>
          </w:p>
          <w:p w14:paraId="38BFFBF3">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癌症疫苗的应用。</w:t>
            </w:r>
          </w:p>
        </w:tc>
      </w:tr>
      <w:tr w14:paraId="413D2D08">
        <w:tc>
          <w:tcPr>
            <w:tcW w:w="1094" w:type="pct"/>
            <w:vAlign w:val="top"/>
          </w:tcPr>
          <w:p w14:paraId="4174D7A1">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五</w:t>
            </w:r>
          </w:p>
        </w:tc>
        <w:tc>
          <w:tcPr>
            <w:tcW w:w="3905" w:type="pct"/>
          </w:tcPr>
          <w:p w14:paraId="726FED1E">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eastAsia" w:cs="Calibri" w:asciiTheme="minorHAnsi" w:hAnsiTheme="minorHAnsi"/>
                <w:szCs w:val="21"/>
                <w:vertAlign w:val="baseline"/>
                <w:lang w:val="en-US" w:eastAsia="zh-CN"/>
                <w:woUserID w:val="2"/>
              </w:rPr>
              <w:t>学生小组</w:t>
            </w:r>
            <w:r>
              <w:rPr>
                <w:rFonts w:hint="default" w:cs="Calibri" w:asciiTheme="minorHAnsi" w:hAnsiTheme="minorHAnsi"/>
                <w:szCs w:val="21"/>
                <w:vertAlign w:val="baseline"/>
                <w:lang w:eastAsia="zh-Hans"/>
                <w:woUserID w:val="2"/>
              </w:rPr>
              <w:t>项目展示</w:t>
            </w:r>
          </w:p>
        </w:tc>
      </w:tr>
      <w:tr w14:paraId="77911CB8">
        <w:tc>
          <w:tcPr>
            <w:tcW w:w="1094" w:type="pct"/>
            <w:vAlign w:val="top"/>
          </w:tcPr>
          <w:p w14:paraId="0519B314">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woUserID w:val="2"/>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六</w:t>
            </w:r>
          </w:p>
        </w:tc>
        <w:tc>
          <w:tcPr>
            <w:tcW w:w="3905" w:type="pct"/>
          </w:tcPr>
          <w:p w14:paraId="6AB2F1DC">
            <w:pPr>
              <w:numPr>
                <w:ilvl w:val="0"/>
                <w:numId w:val="14"/>
              </w:numPr>
              <w:spacing w:line="360" w:lineRule="auto"/>
              <w:ind w:left="420" w:leftChars="0" w:hanging="420" w:firstLineChars="0"/>
              <w:rPr>
                <w:rFonts w:hint="default" w:cs="Calibri" w:asciiTheme="minorHAnsi" w:hAnsiTheme="minorHAnsi"/>
                <w:szCs w:val="21"/>
                <w:lang w:eastAsia="zh-Hans"/>
              </w:rPr>
            </w:pPr>
            <w:r>
              <w:rPr>
                <w:rFonts w:hint="eastAsia" w:cs="Calibri" w:asciiTheme="minorHAnsi" w:hAnsiTheme="minorHAnsi"/>
                <w:szCs w:val="21"/>
                <w:lang w:val="en-US" w:eastAsia="zh-Hans"/>
                <w:woUserID w:val="1"/>
              </w:rPr>
              <w:t>送往机场</w:t>
            </w:r>
            <w:r>
              <w:rPr>
                <w:rFonts w:hint="default" w:cs="Calibri" w:asciiTheme="minorHAnsi" w:hAnsiTheme="minorHAnsi"/>
                <w:szCs w:val="21"/>
                <w:lang w:eastAsia="zh-Hans"/>
                <w:woUserID w:val="1"/>
              </w:rPr>
              <w:t>，</w:t>
            </w:r>
            <w:r>
              <w:rPr>
                <w:rFonts w:hint="eastAsia" w:cs="Calibri" w:asciiTheme="minorHAnsi" w:hAnsiTheme="minorHAnsi"/>
                <w:szCs w:val="21"/>
                <w:lang w:val="en-US" w:eastAsia="zh-Hans"/>
                <w:woUserID w:val="1"/>
              </w:rPr>
              <w:t>返回国内</w:t>
            </w:r>
          </w:p>
        </w:tc>
      </w:tr>
    </w:tbl>
    <w:p w14:paraId="3525F898">
      <w:pPr>
        <w:spacing w:line="360" w:lineRule="auto"/>
        <w:rPr>
          <w:rFonts w:cs="Calibri" w:asciiTheme="minorHAnsi" w:hAnsiTheme="minorHAnsi"/>
          <w:szCs w:val="21"/>
        </w:rPr>
      </w:pPr>
    </w:p>
    <w:p w14:paraId="795666E0">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21A8DDA4">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eastAsia" w:asciiTheme="minorHAnsi" w:hAnsiTheme="minorHAnsi" w:eastAsiaTheme="majorEastAsia" w:cstheme="minorHAnsi"/>
          <w:szCs w:val="21"/>
          <w:lang w:val="en-US" w:eastAsia="zh-CN"/>
        </w:rPr>
        <w:t>新加坡国立大学暑期</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和成绩单，</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14:paraId="04E3391A">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1" locked="0" layoutInCell="1" allowOverlap="1">
            <wp:simplePos x="0" y="0"/>
            <wp:positionH relativeFrom="column">
              <wp:posOffset>2835910</wp:posOffset>
            </wp:positionH>
            <wp:positionV relativeFrom="paragraph">
              <wp:posOffset>47625</wp:posOffset>
            </wp:positionV>
            <wp:extent cx="1950085" cy="2491105"/>
            <wp:effectExtent l="0" t="0" r="12065" b="4445"/>
            <wp:wrapTight wrapText="bothSides">
              <wp:wrapPolygon>
                <wp:start x="0" y="0"/>
                <wp:lineTo x="0" y="21473"/>
                <wp:lineTo x="21312" y="21473"/>
                <wp:lineTo x="21312"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950085" cy="2491105"/>
                    </a:xfrm>
                    <a:prstGeom prst="rect">
                      <a:avLst/>
                    </a:prstGeom>
                    <a:noFill/>
                    <a:ln w="9525">
                      <a:noFill/>
                    </a:ln>
                  </pic:spPr>
                </pic:pic>
              </a:graphicData>
            </a:graphic>
          </wp:anchor>
        </w:drawing>
      </w:r>
      <w:r>
        <w:drawing>
          <wp:inline distT="0" distB="0" distL="114300" distR="114300">
            <wp:extent cx="2094865" cy="255587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094865" cy="2555875"/>
                    </a:xfrm>
                    <a:prstGeom prst="rect">
                      <a:avLst/>
                    </a:prstGeom>
                    <a:noFill/>
                    <a:ln w="9525">
                      <a:noFill/>
                    </a:ln>
                  </pic:spPr>
                </pic:pic>
              </a:graphicData>
            </a:graphic>
          </wp:inline>
        </w:drawing>
      </w:r>
    </w:p>
    <w:p w14:paraId="29112A98">
      <w:pPr>
        <w:widowControl/>
        <w:spacing w:line="360" w:lineRule="auto"/>
        <w:jc w:val="left"/>
        <w:rPr>
          <w:rFonts w:cs="Calibri" w:asciiTheme="minorHAnsi" w:hAnsiTheme="minorHAnsi"/>
          <w:szCs w:val="21"/>
        </w:rPr>
      </w:pPr>
    </w:p>
    <w:p w14:paraId="6643E434">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14:paraId="530243F8">
        <w:trPr>
          <w:trHeight w:val="457" w:hRule="atLeast"/>
        </w:trPr>
        <w:tc>
          <w:tcPr>
            <w:tcW w:w="1977" w:type="dxa"/>
          </w:tcPr>
          <w:p w14:paraId="7BA78D0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14:paraId="0397E40E">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w:t>
            </w:r>
            <w:r>
              <w:rPr>
                <w:rFonts w:hint="default" w:asciiTheme="minorHAnsi" w:hAnsiTheme="minorHAnsi" w:eastAsiaTheme="majorEastAsia" w:cstheme="minorHAnsi"/>
                <w:szCs w:val="21"/>
                <w:woUserID w:val="1"/>
              </w:rPr>
              <w:t>5</w:t>
            </w:r>
            <w:r>
              <w:rPr>
                <w:rFonts w:hint="eastAsia" w:asciiTheme="minorHAnsi" w:hAnsiTheme="minorHAnsi" w:eastAsiaTheme="majorEastAsia" w:cstheme="minorHAnsi"/>
                <w:szCs w:val="21"/>
                <w:lang w:val="en-US" w:eastAsia="zh-CN"/>
              </w:rPr>
              <w:t>80</w:t>
            </w:r>
            <w:r>
              <w:rPr>
                <w:rFonts w:hint="default" w:asciiTheme="minorHAnsi" w:hAnsiTheme="minorHAnsi" w:eastAsiaTheme="majorEastAsia" w:cstheme="minorHAnsi"/>
                <w:szCs w:val="21"/>
              </w:rPr>
              <w:t>0元/人</w:t>
            </w:r>
          </w:p>
        </w:tc>
      </w:tr>
      <w:tr w14:paraId="52604F07">
        <w:tc>
          <w:tcPr>
            <w:tcW w:w="1977" w:type="dxa"/>
          </w:tcPr>
          <w:p w14:paraId="4267DC4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14:paraId="5706B8A3">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14:paraId="381A3155">
        <w:tc>
          <w:tcPr>
            <w:tcW w:w="1977" w:type="dxa"/>
          </w:tcPr>
          <w:p w14:paraId="1D6B6170">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14:paraId="2A947DD9">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14:paraId="6C6762E5">
      <w:pPr>
        <w:spacing w:line="360" w:lineRule="auto"/>
        <w:rPr>
          <w:rFonts w:asciiTheme="minorHAnsi" w:hAnsiTheme="minorHAnsi" w:eastAsiaTheme="majorEastAsia" w:cstheme="minorHAnsi"/>
          <w:b/>
          <w:bCs/>
          <w:kern w:val="0"/>
          <w:szCs w:val="21"/>
        </w:rPr>
      </w:pPr>
    </w:p>
    <w:p w14:paraId="2469C76F">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218267DF">
      <w:pPr>
        <w:pStyle w:val="19"/>
        <w:numPr>
          <w:ilvl w:val="0"/>
          <w:numId w:val="1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014CC1C2">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新加坡国立大学</w:t>
      </w:r>
      <w:r>
        <w:rPr>
          <w:rFonts w:hint="eastAsia" w:ascii="Calibri" w:hAnsi="Calibri" w:cs="Calibri"/>
          <w:szCs w:val="21"/>
          <w:woUserID w:val="1"/>
        </w:rPr>
        <w:t>202</w:t>
      </w:r>
      <w:r>
        <w:rPr>
          <w:rFonts w:hint="eastAsia" w:ascii="Calibri" w:hAnsi="Calibri" w:cs="Calibri"/>
          <w:szCs w:val="21"/>
          <w:lang w:val="en-US" w:eastAsia="zh-CN"/>
          <w:woUserID w:val="1"/>
        </w:rPr>
        <w:t>5</w:t>
      </w:r>
      <w:r>
        <w:rPr>
          <w:rFonts w:hint="eastAsia" w:ascii="Calibri" w:hAnsi="Calibri" w:cs="Calibri"/>
          <w:szCs w:val="21"/>
          <w:lang w:val="en-US" w:eastAsia="zh-CN"/>
        </w:rPr>
        <w:t>暑假</w:t>
      </w:r>
      <w:r>
        <w:rPr>
          <w:rFonts w:hint="eastAsia" w:ascii="Calibri" w:hAnsi="Calibri" w:cs="Calibri"/>
          <w:szCs w:val="21"/>
          <w:lang w:eastAsia="zh-Hans"/>
        </w:rPr>
        <w:t>“微生物组与癌症免疫疗法”</w:t>
      </w:r>
      <w:r>
        <w:rPr>
          <w:rFonts w:hint="eastAsia" w:ascii="Calibri" w:hAnsi="Calibri" w:cs="Calibri"/>
          <w:szCs w:val="21"/>
        </w:rPr>
        <w:t>访学项目选拔名额为</w:t>
      </w:r>
      <w:r>
        <w:rPr>
          <w:rFonts w:ascii="Calibri" w:hAnsi="Calibri" w:cs="Calibri"/>
          <w:szCs w:val="21"/>
        </w:rPr>
        <w:t>4</w:t>
      </w:r>
      <w:r>
        <w:rPr>
          <w:rFonts w:hint="default" w:ascii="Calibri" w:hAnsi="Calibri" w:cs="Calibri"/>
          <w:szCs w:val="21"/>
        </w:rPr>
        <w:t>0</w:t>
      </w:r>
      <w:r>
        <w:rPr>
          <w:rFonts w:hint="eastAsia" w:ascii="Calibri" w:hAnsi="Calibri" w:cs="Calibri"/>
          <w:szCs w:val="21"/>
        </w:rPr>
        <w:t>名</w:t>
      </w:r>
    </w:p>
    <w:p w14:paraId="1A7CB5EA">
      <w:pPr>
        <w:pStyle w:val="19"/>
        <w:widowControl/>
        <w:numPr>
          <w:ilvl w:val="0"/>
          <w:numId w:val="1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default" w:ascii="Calibri" w:hAnsi="Calibri" w:cs="Calibri"/>
          <w:kern w:val="2"/>
          <w:sz w:val="21"/>
          <w:szCs w:val="21"/>
          <w:lang w:eastAsia="zh-CN" w:bidi="ar-SA"/>
          <w:woUserID w:val="1"/>
        </w:rPr>
        <w:t>5</w:t>
      </w:r>
      <w:r>
        <w:rPr>
          <w:rFonts w:hint="eastAsia" w:ascii="Calibri" w:hAnsi="Calibri" w:eastAsia="宋体" w:cs="Calibri"/>
          <w:kern w:val="2"/>
          <w:sz w:val="21"/>
          <w:szCs w:val="21"/>
          <w:lang w:val="en-US" w:eastAsia="zh-CN" w:bidi="ar-SA"/>
        </w:rPr>
        <w:t>月</w:t>
      </w:r>
      <w:r>
        <w:rPr>
          <w:rFonts w:hint="default" w:ascii="Calibri" w:hAnsi="Calibri" w:cs="Calibri"/>
          <w:kern w:val="2"/>
          <w:sz w:val="21"/>
          <w:szCs w:val="21"/>
          <w:lang w:eastAsia="zh-CN" w:bidi="ar-SA"/>
          <w:woUserID w:val="1"/>
        </w:rPr>
        <w:t>30</w:t>
      </w:r>
      <w:r>
        <w:rPr>
          <w:rFonts w:hint="eastAsia" w:ascii="Calibri" w:hAnsi="Calibri" w:eastAsia="宋体" w:cs="Calibri"/>
          <w:kern w:val="2"/>
          <w:sz w:val="21"/>
          <w:szCs w:val="21"/>
          <w:lang w:val="en-US" w:eastAsia="zh-CN" w:bidi="ar-SA"/>
        </w:rPr>
        <w:t>日</w:t>
      </w:r>
    </w:p>
    <w:p w14:paraId="4FE7920C">
      <w:pPr>
        <w:pStyle w:val="19"/>
        <w:widowControl/>
        <w:numPr>
          <w:ilvl w:val="0"/>
          <w:numId w:val="1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1F9338AE">
      <w:pPr>
        <w:pStyle w:val="19"/>
        <w:numPr>
          <w:ilvl w:val="0"/>
          <w:numId w:val="1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14:paraId="4172BB8F">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14:paraId="37B8A26B">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14:paraId="2CD7D57E">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14:paraId="378A70A5">
      <w:pPr>
        <w:pStyle w:val="19"/>
        <w:spacing w:line="360" w:lineRule="auto"/>
        <w:ind w:firstLine="0" w:firstLineChars="0"/>
        <w:rPr>
          <w:rFonts w:cs="Calibri" w:asciiTheme="minorHAnsi" w:hAnsiTheme="minorHAnsi"/>
          <w:b/>
          <w:szCs w:val="21"/>
        </w:rPr>
      </w:pPr>
      <w:r>
        <w:rPr>
          <w:rFonts w:asciiTheme="minorHAnsi" w:hAnsiTheme="minorHAnsi" w:eastAsiaTheme="majorEastAsia" w:cstheme="minorHAnsi"/>
          <w:b/>
          <w:kern w:val="0"/>
          <w:szCs w:val="21"/>
        </w:rPr>
        <w:t>4、 项目申请录取方式和报名流程</w:t>
      </w:r>
    </w:p>
    <w:p w14:paraId="6CCE40B2">
      <w:pPr>
        <w:pStyle w:val="19"/>
        <w:numPr>
          <w:ilvl w:val="0"/>
          <w:numId w:val="17"/>
        </w:numPr>
        <w:spacing w:line="360" w:lineRule="auto"/>
        <w:ind w:firstLineChars="0"/>
        <w:rPr>
          <w:rFonts w:ascii="宋体" w:hAnsi="宋体" w:cs="宋体"/>
          <w:kern w:val="0"/>
          <w:szCs w:val="21"/>
        </w:rPr>
      </w:pPr>
      <w:r>
        <w:rPr>
          <w:rFonts w:asciiTheme="minorHAnsi" w:hAnsiTheme="minorHAnsi" w:eastAsiaTheme="majorEastAsia" w:cstheme="minorHAnsi"/>
          <w:kern w:val="0"/>
          <w:szCs w:val="21"/>
        </w:rPr>
        <w:t>学生本人提出申请，在学校国际合作交流处（外事处）报名；</w:t>
      </w:r>
    </w:p>
    <w:p w14:paraId="71AD7770">
      <w:pPr>
        <w:pStyle w:val="20"/>
        <w:numPr>
          <w:ilvl w:val="0"/>
          <w:numId w:val="17"/>
        </w:numPr>
        <w:spacing w:line="360" w:lineRule="auto"/>
        <w:ind w:firstLineChars="0"/>
        <w:jc w:val="both"/>
        <w:rPr>
          <w:rFonts w:ascii="宋体" w:hAnsi="宋体" w:cs="宋体"/>
          <w:kern w:val="0"/>
          <w:szCs w:val="21"/>
        </w:rPr>
      </w:pPr>
      <w:r>
        <w:rPr>
          <w:rFonts w:hint="eastAsia" w:ascii="宋体" w:hAnsi="宋体" w:eastAsia="宋体" w:cs="宋体"/>
          <w:kern w:val="2"/>
          <w:sz w:val="21"/>
          <w:szCs w:val="21"/>
          <w:lang w:val="en-US" w:eastAsia="zh-CN" w:bidi="ar"/>
        </w:rPr>
        <w:t>学生需通过https://kaoshi.wjx.top/vm/O8WghpD.aspx#或扫描下方二维码填写《</w:t>
      </w:r>
      <w:r>
        <w:rPr>
          <w:rFonts w:hint="default" w:ascii="Calibri" w:hAnsi="Calibri" w:eastAsia="宋体" w:cs="Calibri"/>
          <w:kern w:val="2"/>
          <w:sz w:val="21"/>
          <w:szCs w:val="21"/>
          <w:lang w:val="en-US" w:eastAsia="zh-CN" w:bidi="ar"/>
        </w:rPr>
        <w:t>202</w:t>
      </w:r>
      <w:r>
        <w:rPr>
          <w:rFonts w:hint="eastAsia" w:ascii="Calibri" w:hAnsi="Calibri" w:cs="Calibri"/>
          <w:kern w:val="2"/>
          <w:sz w:val="21"/>
          <w:szCs w:val="21"/>
          <w:lang w:val="en-US" w:eastAsia="zh-CN" w:bidi="ar"/>
        </w:rPr>
        <w:t>5夏秋</w:t>
      </w:r>
      <w:r>
        <w:rPr>
          <w:rFonts w:hint="eastAsia" w:ascii="宋体" w:hAnsi="宋体" w:eastAsia="宋体" w:cs="宋体"/>
          <w:kern w:val="2"/>
          <w:sz w:val="21"/>
          <w:szCs w:val="21"/>
          <w:lang w:val="en-US" w:eastAsia="zh-CN" w:bidi="ar"/>
        </w:rPr>
        <w:t>世界名校访学项目报名表》，网上报名的时间决定录取的顺序；</w:t>
      </w:r>
    </w:p>
    <w:p w14:paraId="246D266A">
      <w:pPr>
        <w:pStyle w:val="20"/>
        <w:numPr>
          <w:ilvl w:val="0"/>
          <w:numId w:val="0"/>
        </w:numPr>
        <w:spacing w:line="360" w:lineRule="auto"/>
        <w:jc w:val="left"/>
        <w:rPr>
          <w:rFonts w:hint="default" w:ascii="宋体" w:hAnsi="宋体" w:cs="宋体"/>
          <w:kern w:val="0"/>
          <w:szCs w:val="21"/>
        </w:rPr>
      </w:pPr>
      <w:r>
        <w:rPr>
          <w:rFonts w:hint="default"/>
        </w:rPr>
        <w:t xml:space="preserve">     </w:t>
      </w:r>
      <w:r>
        <w:rPr>
          <w:rFonts w:hint="eastAsia" w:ascii="宋体" w:hAnsi="宋体" w:eastAsia="宋体" w:cs="宋体"/>
          <w:kern w:val="0"/>
          <w:szCs w:val="21"/>
          <w:lang w:eastAsia="zh-CN"/>
        </w:rPr>
        <w:drawing>
          <wp:inline distT="0" distB="0" distL="114300" distR="114300">
            <wp:extent cx="1570990" cy="1570990"/>
            <wp:effectExtent l="0" t="0" r="635" b="635"/>
            <wp:docPr id="2" name="图片 2" descr="25夏秋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夏秋报名码"/>
                    <pic:cNvPicPr>
                      <a:picLocks noChangeAspect="1"/>
                    </pic:cNvPicPr>
                  </pic:nvPicPr>
                  <pic:blipFill>
                    <a:blip r:embed="rId8"/>
                    <a:stretch>
                      <a:fillRect/>
                    </a:stretch>
                  </pic:blipFill>
                  <pic:spPr>
                    <a:xfrm>
                      <a:off x="0" y="0"/>
                      <a:ext cx="1570990" cy="1570990"/>
                    </a:xfrm>
                    <a:prstGeom prst="rect">
                      <a:avLst/>
                    </a:prstGeom>
                  </pic:spPr>
                </pic:pic>
              </a:graphicData>
            </a:graphic>
          </wp:inline>
        </w:drawing>
      </w:r>
    </w:p>
    <w:p w14:paraId="12564F21">
      <w:pPr>
        <w:pStyle w:val="19"/>
        <w:numPr>
          <w:ilvl w:val="0"/>
          <w:numId w:val="1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p>
    <w:p w14:paraId="39D3A001">
      <w:pPr>
        <w:pStyle w:val="19"/>
        <w:numPr>
          <w:ilvl w:val="0"/>
          <w:numId w:val="17"/>
        </w:numPr>
        <w:spacing w:line="360" w:lineRule="auto"/>
        <w:ind w:firstLineChars="0"/>
        <w:jc w:val="left"/>
        <w:rPr>
          <w:rFonts w:ascii="宋体" w:hAnsi="宋体" w:cs="宋体"/>
          <w:kern w:val="0"/>
          <w:szCs w:val="21"/>
        </w:rPr>
      </w:pPr>
      <w:r>
        <w:rPr>
          <w:rFonts w:hint="eastAsia" w:ascii="宋体" w:hAnsi="宋体" w:cs="宋体"/>
          <w:kern w:val="0"/>
          <w:szCs w:val="21"/>
        </w:rPr>
        <w:t>项目咨询：</w:t>
      </w:r>
      <w:r>
        <w:rPr>
          <w:rFonts w:hint="eastAsia" w:ascii="宋体" w:hAnsi="宋体" w:cs="宋体"/>
          <w:kern w:val="0"/>
          <w:szCs w:val="21"/>
          <w:lang w:val="en-US" w:eastAsia="zh-CN"/>
        </w:rPr>
        <w:t>许</w:t>
      </w:r>
      <w:r>
        <w:rPr>
          <w:rFonts w:hint="eastAsia" w:ascii="Calibri" w:hAnsi="Calibri" w:cs="Calibri"/>
          <w:szCs w:val="21"/>
        </w:rPr>
        <w:t xml:space="preserve">老师 </w:t>
      </w:r>
      <w:r>
        <w:rPr>
          <w:rFonts w:hint="eastAsia" w:ascii="Calibri" w:hAnsi="Calibri" w:cs="Calibri"/>
          <w:szCs w:val="21"/>
          <w:lang w:val="en-US" w:eastAsia="zh-CN"/>
        </w:rPr>
        <w:t>19814720130</w:t>
      </w:r>
      <w:bookmarkStart w:id="0" w:name="_GoBack"/>
      <w:bookmarkEnd w:id="0"/>
      <w:r>
        <w:rPr>
          <w:rFonts w:hint="eastAsia" w:ascii="Calibri" w:hAnsi="Calibri" w:cs="Calibri"/>
          <w:szCs w:val="21"/>
        </w:rPr>
        <w:t>（微信同号）</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7694">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F5D7C"/>
    <w:multiLevelType w:val="singleLevel"/>
    <w:tmpl w:val="BA9F5D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FF6EE01"/>
    <w:multiLevelType w:val="singleLevel"/>
    <w:tmpl w:val="CFF6EE01"/>
    <w:lvl w:ilvl="0" w:tentative="0">
      <w:start w:val="1"/>
      <w:numFmt w:val="bullet"/>
      <w:lvlText w:val=""/>
      <w:lvlJc w:val="left"/>
      <w:pPr>
        <w:ind w:left="420" w:hanging="420"/>
      </w:pPr>
      <w:rPr>
        <w:rFonts w:hint="default" w:ascii="Wingdings" w:hAnsi="Wingdings"/>
      </w:rPr>
    </w:lvl>
  </w:abstractNum>
  <w:abstractNum w:abstractNumId="2">
    <w:nsid w:val="DC3E53DA"/>
    <w:multiLevelType w:val="singleLevel"/>
    <w:tmpl w:val="DC3E53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BFEB8F9"/>
    <w:multiLevelType w:val="singleLevel"/>
    <w:tmpl w:val="EBFEB8F9"/>
    <w:lvl w:ilvl="0" w:tentative="0">
      <w:start w:val="1"/>
      <w:numFmt w:val="bullet"/>
      <w:lvlText w:val=""/>
      <w:lvlJc w:val="left"/>
      <w:pPr>
        <w:ind w:left="420" w:hanging="420"/>
      </w:pPr>
      <w:rPr>
        <w:rFonts w:hint="default" w:ascii="Wingdings" w:hAnsi="Wingdings"/>
      </w:rPr>
    </w:lvl>
  </w:abstractNum>
  <w:abstractNum w:abstractNumId="4">
    <w:nsid w:val="EFEDE8F2"/>
    <w:multiLevelType w:val="singleLevel"/>
    <w:tmpl w:val="EFEDE8F2"/>
    <w:lvl w:ilvl="0" w:tentative="0">
      <w:start w:val="1"/>
      <w:numFmt w:val="bullet"/>
      <w:lvlText w:val=""/>
      <w:lvlJc w:val="left"/>
      <w:pPr>
        <w:ind w:left="420" w:hanging="420"/>
      </w:pPr>
      <w:rPr>
        <w:rFonts w:hint="default" w:ascii="Wingdings" w:hAnsi="Wingdings"/>
      </w:rPr>
    </w:lvl>
  </w:abstractNum>
  <w:abstractNum w:abstractNumId="5">
    <w:nsid w:val="F3F3CD7E"/>
    <w:multiLevelType w:val="singleLevel"/>
    <w:tmpl w:val="F3F3CD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8BC3FFD"/>
    <w:multiLevelType w:val="multilevel"/>
    <w:tmpl w:val="F8BC3F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FB7E5755"/>
    <w:multiLevelType w:val="singleLevel"/>
    <w:tmpl w:val="FB7E575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FF5F56D7"/>
    <w:multiLevelType w:val="singleLevel"/>
    <w:tmpl w:val="FF5F56D7"/>
    <w:lvl w:ilvl="0" w:tentative="0">
      <w:start w:val="1"/>
      <w:numFmt w:val="bullet"/>
      <w:lvlText w:val=""/>
      <w:lvlJc w:val="left"/>
      <w:pPr>
        <w:ind w:left="420" w:hanging="420"/>
      </w:pPr>
      <w:rPr>
        <w:rFonts w:hint="default" w:ascii="Wingdings" w:hAnsi="Wingdings"/>
      </w:rPr>
    </w:lvl>
  </w:abstractNum>
  <w:abstractNum w:abstractNumId="10">
    <w:nsid w:val="3EEDF7F5"/>
    <w:multiLevelType w:val="singleLevel"/>
    <w:tmpl w:val="3EEDF7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2">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1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6D50662A"/>
    <w:multiLevelType w:val="multilevel"/>
    <w:tmpl w:val="6D50662A"/>
    <w:lvl w:ilvl="0" w:tentative="0">
      <w:start w:val="1"/>
      <w:numFmt w:val="decimal"/>
      <w:lvlText w:val="%1)"/>
      <w:lvlJc w:val="left"/>
      <w:pPr>
        <w:ind w:left="630" w:hanging="420"/>
      </w:pPr>
      <w:rPr>
        <w:rFonts w:hint="default"/>
        <w:b w:val="0"/>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DC33B7"/>
    <w:multiLevelType w:val="singleLevel"/>
    <w:tmpl w:val="7FDC33B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1"/>
  </w:num>
  <w:num w:numId="2">
    <w:abstractNumId w:val="12"/>
  </w:num>
  <w:num w:numId="3">
    <w:abstractNumId w:val="6"/>
  </w:num>
  <w:num w:numId="4">
    <w:abstractNumId w:val="2"/>
  </w:num>
  <w:num w:numId="5">
    <w:abstractNumId w:val="3"/>
  </w:num>
  <w:num w:numId="6">
    <w:abstractNumId w:val="16"/>
  </w:num>
  <w:num w:numId="7">
    <w:abstractNumId w:val="0"/>
  </w:num>
  <w:num w:numId="8">
    <w:abstractNumId w:val="5"/>
  </w:num>
  <w:num w:numId="9">
    <w:abstractNumId w:val="10"/>
  </w:num>
  <w:num w:numId="10">
    <w:abstractNumId w:val="1"/>
  </w:num>
  <w:num w:numId="11">
    <w:abstractNumId w:val="4"/>
  </w:num>
  <w:num w:numId="12">
    <w:abstractNumId w:val="8"/>
  </w:num>
  <w:num w:numId="13">
    <w:abstractNumId w:val="9"/>
  </w:num>
  <w:num w:numId="14">
    <w:abstractNumId w:val="7"/>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DA1OTUzM2Y5NDY5MTRjNzkzNDYwY2VhYzcwZjQifQ=="/>
  </w:docVars>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B6673D2"/>
    <w:rsid w:val="0C92128D"/>
    <w:rsid w:val="0FAF76A8"/>
    <w:rsid w:val="117E90B9"/>
    <w:rsid w:val="13F0662F"/>
    <w:rsid w:val="1542235D"/>
    <w:rsid w:val="1782113B"/>
    <w:rsid w:val="199054D3"/>
    <w:rsid w:val="1AFC175B"/>
    <w:rsid w:val="1B9C12A0"/>
    <w:rsid w:val="278B188D"/>
    <w:rsid w:val="2977B741"/>
    <w:rsid w:val="29BE613E"/>
    <w:rsid w:val="2B9056E6"/>
    <w:rsid w:val="2BDFB16F"/>
    <w:rsid w:val="2F6F79B0"/>
    <w:rsid w:val="32F469A7"/>
    <w:rsid w:val="3697705D"/>
    <w:rsid w:val="370C2528"/>
    <w:rsid w:val="37F5E4E4"/>
    <w:rsid w:val="39EB70AC"/>
    <w:rsid w:val="39FE87AB"/>
    <w:rsid w:val="3FD38EE0"/>
    <w:rsid w:val="3FFF7F56"/>
    <w:rsid w:val="42B7BBC4"/>
    <w:rsid w:val="43EB6FBE"/>
    <w:rsid w:val="4663199C"/>
    <w:rsid w:val="4BB490D0"/>
    <w:rsid w:val="4EEEF519"/>
    <w:rsid w:val="4EFD4A16"/>
    <w:rsid w:val="4F575055"/>
    <w:rsid w:val="4FA41450"/>
    <w:rsid w:val="5052076A"/>
    <w:rsid w:val="51C30BE7"/>
    <w:rsid w:val="52BC7266"/>
    <w:rsid w:val="54420BCB"/>
    <w:rsid w:val="577FF747"/>
    <w:rsid w:val="57BFFD08"/>
    <w:rsid w:val="5A913141"/>
    <w:rsid w:val="5BFE8697"/>
    <w:rsid w:val="5CFBA6CD"/>
    <w:rsid w:val="5F5D6471"/>
    <w:rsid w:val="5FE64516"/>
    <w:rsid w:val="5FFB70F7"/>
    <w:rsid w:val="63BFD1DC"/>
    <w:rsid w:val="67F7E764"/>
    <w:rsid w:val="6DC74436"/>
    <w:rsid w:val="6E2FF307"/>
    <w:rsid w:val="6EEEEA45"/>
    <w:rsid w:val="6F6F503E"/>
    <w:rsid w:val="6F7D3574"/>
    <w:rsid w:val="6F93A2EB"/>
    <w:rsid w:val="6FDC703F"/>
    <w:rsid w:val="70FFACBA"/>
    <w:rsid w:val="757DC129"/>
    <w:rsid w:val="75BBA18A"/>
    <w:rsid w:val="75FFD642"/>
    <w:rsid w:val="76E71A1A"/>
    <w:rsid w:val="778611A3"/>
    <w:rsid w:val="77DBBE44"/>
    <w:rsid w:val="77DF8771"/>
    <w:rsid w:val="77FCB413"/>
    <w:rsid w:val="7A7F2648"/>
    <w:rsid w:val="7CFC7B93"/>
    <w:rsid w:val="7D57B136"/>
    <w:rsid w:val="7EB37ED3"/>
    <w:rsid w:val="7EDD1A67"/>
    <w:rsid w:val="7F124915"/>
    <w:rsid w:val="7F8BC2F5"/>
    <w:rsid w:val="7F9F4147"/>
    <w:rsid w:val="7FD8E875"/>
    <w:rsid w:val="7FE7C69C"/>
    <w:rsid w:val="7FF7DDC0"/>
    <w:rsid w:val="7FFA884E"/>
    <w:rsid w:val="7FFB8B8D"/>
    <w:rsid w:val="7FFDAF19"/>
    <w:rsid w:val="8F9EFEBA"/>
    <w:rsid w:val="9E7FB0D6"/>
    <w:rsid w:val="9EB6103B"/>
    <w:rsid w:val="9EEF6FA8"/>
    <w:rsid w:val="9FFFDCCA"/>
    <w:rsid w:val="A2BF9867"/>
    <w:rsid w:val="ACA6FB7C"/>
    <w:rsid w:val="AF7D8B26"/>
    <w:rsid w:val="B3F78B4A"/>
    <w:rsid w:val="B9EF10E2"/>
    <w:rsid w:val="BDDFC2BB"/>
    <w:rsid w:val="BEA21ADA"/>
    <w:rsid w:val="BEF24E54"/>
    <w:rsid w:val="BEFCD0FA"/>
    <w:rsid w:val="BFAB9766"/>
    <w:rsid w:val="CFFFCA2E"/>
    <w:rsid w:val="D4BFCBAC"/>
    <w:rsid w:val="D7EB71CF"/>
    <w:rsid w:val="D7FA54D3"/>
    <w:rsid w:val="D8FBA931"/>
    <w:rsid w:val="DD7DF9EA"/>
    <w:rsid w:val="DDFDDAD1"/>
    <w:rsid w:val="DEE3A79F"/>
    <w:rsid w:val="DFBD6D25"/>
    <w:rsid w:val="E7E737C9"/>
    <w:rsid w:val="E7F360FD"/>
    <w:rsid w:val="E7FB8EF2"/>
    <w:rsid w:val="E7FF5A86"/>
    <w:rsid w:val="E95B18CB"/>
    <w:rsid w:val="EBBA7CFD"/>
    <w:rsid w:val="EBEB044F"/>
    <w:rsid w:val="EDEDF0B7"/>
    <w:rsid w:val="EDF6291C"/>
    <w:rsid w:val="EEDED1DF"/>
    <w:rsid w:val="EEEF4280"/>
    <w:rsid w:val="EEF716B8"/>
    <w:rsid w:val="EFFA3853"/>
    <w:rsid w:val="EFFE5494"/>
    <w:rsid w:val="EFFF7BE4"/>
    <w:rsid w:val="F2727F3A"/>
    <w:rsid w:val="F7CD9B09"/>
    <w:rsid w:val="F7DF80C0"/>
    <w:rsid w:val="F7EF3E05"/>
    <w:rsid w:val="F7EFC06F"/>
    <w:rsid w:val="F87F1043"/>
    <w:rsid w:val="F8BE8060"/>
    <w:rsid w:val="F9CFC945"/>
    <w:rsid w:val="FA3E7073"/>
    <w:rsid w:val="FB7D1C1F"/>
    <w:rsid w:val="FBDFAB0F"/>
    <w:rsid w:val="FBED47B4"/>
    <w:rsid w:val="FBFF638D"/>
    <w:rsid w:val="FCFF7186"/>
    <w:rsid w:val="FDEBCFA2"/>
    <w:rsid w:val="FDEE4908"/>
    <w:rsid w:val="FDF72C12"/>
    <w:rsid w:val="FF3D8C22"/>
    <w:rsid w:val="FFB736B2"/>
    <w:rsid w:val="FFB9D61C"/>
    <w:rsid w:val="FFBF9FCB"/>
    <w:rsid w:val="FFE67365"/>
    <w:rsid w:val="FFFB27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Emphasis"/>
    <w:basedOn w:val="12"/>
    <w:qFormat/>
    <w:uiPriority w:val="0"/>
    <w:rPr>
      <w:i/>
    </w:rPr>
  </w:style>
  <w:style w:type="character" w:styleId="15">
    <w:name w:val="Hyperlink"/>
    <w:qFormat/>
    <w:uiPriority w:val="0"/>
    <w:rPr>
      <w:color w:val="0068B7"/>
      <w:u w:val="none"/>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customStyle="1" w:styleId="19">
    <w:name w:val="列表段落1"/>
    <w:basedOn w:val="1"/>
    <w:qFormat/>
    <w:uiPriority w:val="34"/>
    <w:pPr>
      <w:ind w:firstLine="420" w:firstLineChars="200"/>
    </w:p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2566</Words>
  <Characters>2857</Characters>
  <Lines>18</Lines>
  <Paragraphs>5</Paragraphs>
  <TotalTime>6</TotalTime>
  <ScaleCrop>false</ScaleCrop>
  <LinksUpToDate>false</LinksUpToDate>
  <CharactersWithSpaces>2885</CharactersWithSpaces>
  <Application>WPS Office_7.2.0.8943_F1E327BC-269C-435d-A152-05C5408002CA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2021-06-05T10:15:00Z</dcterms:created>
  <dc:creator>全美国际教育协会</dc:creator>
  <cp:lastModifiedBy>谭谭</cp:lastModifiedBy>
  <cp:lastPrinted>2012-01-04T00:54:00Z</cp:lastPrinted>
  <dcterms:modified xsi:type="dcterms:W3CDTF">2025-02-20T10:08:25Z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775F61CF9F0E5C2DD8907B678C9907F0_43</vt:lpwstr>
  </property>
</Properties>
</file>