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26D647">
      <w:pPr>
        <w:spacing w:line="360" w:lineRule="auto"/>
        <w:jc w:val="center"/>
        <w:rPr>
          <w:rFonts w:hint="eastAsia"/>
          <w:b/>
          <w:bCs/>
          <w:sz w:val="24"/>
          <w:szCs w:val="32"/>
          <w:lang w:val="en-US" w:eastAsia="zh-CN"/>
        </w:rPr>
      </w:pPr>
      <w:r>
        <w:rPr>
          <w:rFonts w:hint="eastAsia"/>
          <w:b/>
          <w:bCs/>
          <w:sz w:val="24"/>
          <w:szCs w:val="32"/>
          <w:lang w:val="en-US" w:eastAsia="zh-CN"/>
        </w:rPr>
        <w:t>关于巴黎高等视觉设计学院海外学期交流项目（英语）报名通知</w:t>
      </w:r>
    </w:p>
    <w:p w14:paraId="1EDEA897">
      <w:pPr>
        <w:spacing w:line="360" w:lineRule="auto"/>
        <w:rPr>
          <w:rFonts w:hint="eastAsia"/>
          <w:sz w:val="20"/>
          <w:szCs w:val="20"/>
          <w:lang w:val="en-US" w:eastAsia="zh-CN"/>
        </w:rPr>
      </w:pPr>
    </w:p>
    <w:p w14:paraId="3CE36A8B">
      <w:pPr>
        <w:spacing w:line="360" w:lineRule="auto"/>
        <w:ind w:firstLine="420" w:firstLineChars="0"/>
        <w:rPr>
          <w:rFonts w:hint="default"/>
          <w:sz w:val="20"/>
          <w:szCs w:val="20"/>
          <w:lang w:val="en-US" w:eastAsia="zh-CN"/>
        </w:rPr>
      </w:pPr>
      <w:r>
        <w:rPr>
          <w:rFonts w:hint="default"/>
          <w:sz w:val="20"/>
          <w:szCs w:val="20"/>
          <w:lang w:val="en-US" w:eastAsia="zh-CN"/>
        </w:rPr>
        <w:t>为推动学校国际化进程，促进中法高校艺术学科</w:t>
      </w:r>
      <w:r>
        <w:rPr>
          <w:rFonts w:hint="eastAsia"/>
          <w:sz w:val="20"/>
          <w:szCs w:val="20"/>
          <w:lang w:val="en-US" w:eastAsia="zh-CN"/>
        </w:rPr>
        <w:t>的</w:t>
      </w:r>
      <w:r>
        <w:rPr>
          <w:rFonts w:hint="default"/>
          <w:sz w:val="20"/>
          <w:szCs w:val="20"/>
          <w:lang w:val="en-US" w:eastAsia="zh-CN"/>
        </w:rPr>
        <w:t>交流</w:t>
      </w:r>
      <w:r>
        <w:rPr>
          <w:rFonts w:hint="eastAsia"/>
          <w:sz w:val="20"/>
          <w:szCs w:val="20"/>
          <w:lang w:val="en-US" w:eastAsia="zh-CN"/>
        </w:rPr>
        <w:t>与合作</w:t>
      </w:r>
      <w:r>
        <w:rPr>
          <w:rFonts w:hint="default"/>
          <w:sz w:val="20"/>
          <w:szCs w:val="20"/>
          <w:lang w:val="en-US" w:eastAsia="zh-CN"/>
        </w:rPr>
        <w:t>，为学生创造良好的出国学习深造机会，探索世界艺术中心，提升</w:t>
      </w:r>
      <w:r>
        <w:rPr>
          <w:rFonts w:hint="default" w:ascii="Times New Roman" w:hAnsi="Times New Roman" w:cs="Times New Roman" w:eastAsiaTheme="minorEastAsia"/>
          <w:sz w:val="20"/>
          <w:szCs w:val="20"/>
          <w:lang w:val="en-US" w:eastAsia="zh-CN"/>
        </w:rPr>
        <w:t>中国学生的竞争力，培养具有国际视野的高素质艺术人才。</w:t>
      </w:r>
      <w:r>
        <w:rPr>
          <w:rFonts w:hint="eastAsia" w:ascii="Times New Roman" w:hAnsi="Times New Roman" w:cs="Times New Roman"/>
          <w:sz w:val="20"/>
          <w:szCs w:val="20"/>
          <w:lang w:val="en-US" w:eastAsia="zh-CN"/>
        </w:rPr>
        <w:t>上海工程技术大学</w:t>
      </w:r>
      <w:r>
        <w:rPr>
          <w:rFonts w:hint="default" w:ascii="Times New Roman" w:hAnsi="Times New Roman" w:cs="Times New Roman" w:eastAsiaTheme="minorEastAsia"/>
          <w:sz w:val="20"/>
          <w:szCs w:val="20"/>
          <w:lang w:val="en-US" w:eastAsia="zh-CN"/>
        </w:rPr>
        <w:t>联合</w:t>
      </w:r>
      <w:r>
        <w:rPr>
          <w:rFonts w:hint="default" w:ascii="Times New Roman" w:hAnsi="Times New Roman" w:cs="Times New Roman" w:eastAsiaTheme="minorEastAsia"/>
          <w:b/>
          <w:bCs/>
          <w:color w:val="000000" w:themeColor="text1"/>
          <w:sz w:val="20"/>
          <w:szCs w:val="20"/>
          <w:lang w:val="en-US" w:eastAsia="zh-CN"/>
          <w14:textFill>
            <w14:solidFill>
              <w14:schemeClr w14:val="tx1"/>
            </w14:solidFill>
          </w14:textFill>
        </w:rPr>
        <w:t>巴黎高等视觉设计学院（Ecole Intuit.Lab）</w:t>
      </w:r>
      <w:r>
        <w:rPr>
          <w:rFonts w:hint="default" w:ascii="Times New Roman" w:hAnsi="Times New Roman" w:cs="Times New Roman" w:eastAsiaTheme="minorEastAsia"/>
          <w:sz w:val="20"/>
          <w:szCs w:val="20"/>
          <w:lang w:val="en-US" w:eastAsia="zh-CN"/>
        </w:rPr>
        <w:t>发起</w:t>
      </w:r>
      <w:r>
        <w:rPr>
          <w:rFonts w:hint="default" w:ascii="Times New Roman" w:hAnsi="Times New Roman" w:cs="Times New Roman" w:eastAsiaTheme="minorEastAsia"/>
          <w:b/>
          <w:bCs/>
          <w:color w:val="000000" w:themeColor="text1"/>
          <w:sz w:val="20"/>
          <w:szCs w:val="20"/>
          <w:lang w:val="en-US" w:eastAsia="zh-CN"/>
          <w14:textFill>
            <w14:solidFill>
              <w14:schemeClr w14:val="tx1"/>
            </w14:solidFill>
          </w14:textFill>
        </w:rPr>
        <w:t>“中法高校艺术学科（英语）</w:t>
      </w:r>
      <w:r>
        <w:rPr>
          <w:rFonts w:hint="eastAsia" w:ascii="Times New Roman" w:hAnsi="Times New Roman" w:cs="Times New Roman" w:eastAsiaTheme="minorEastAsia"/>
          <w:b/>
          <w:bCs/>
          <w:color w:val="000000" w:themeColor="text1"/>
          <w:sz w:val="20"/>
          <w:szCs w:val="20"/>
          <w:lang w:val="en-US" w:eastAsia="zh-CN"/>
          <w14:textFill>
            <w14:solidFill>
              <w14:schemeClr w14:val="tx1"/>
            </w14:solidFill>
          </w14:textFill>
        </w:rPr>
        <w:t>海外学期交流</w:t>
      </w:r>
      <w:r>
        <w:rPr>
          <w:rFonts w:hint="default" w:ascii="Times New Roman" w:hAnsi="Times New Roman" w:cs="Times New Roman" w:eastAsiaTheme="minorEastAsia"/>
          <w:b/>
          <w:bCs/>
          <w:color w:val="000000" w:themeColor="text1"/>
          <w:sz w:val="20"/>
          <w:szCs w:val="20"/>
          <w:lang w:val="en-US" w:eastAsia="zh-CN"/>
          <w14:textFill>
            <w14:solidFill>
              <w14:schemeClr w14:val="tx1"/>
            </w14:solidFill>
          </w14:textFill>
        </w:rPr>
        <w:t>项目”</w:t>
      </w:r>
      <w:r>
        <w:rPr>
          <w:rFonts w:hint="default" w:ascii="Times New Roman" w:hAnsi="Times New Roman" w:cs="Times New Roman" w:eastAsiaTheme="minorEastAsia"/>
          <w:sz w:val="20"/>
          <w:szCs w:val="20"/>
          <w:lang w:val="en-US" w:eastAsia="zh-CN"/>
        </w:rPr>
        <w:t>， 助力在校学生前往法国高校进行</w:t>
      </w:r>
      <w:r>
        <w:rPr>
          <w:rFonts w:hint="default" w:ascii="Times New Roman" w:hAnsi="Times New Roman" w:cs="Times New Roman" w:eastAsiaTheme="minorEastAsia"/>
          <w:b/>
          <w:bCs/>
          <w:sz w:val="20"/>
          <w:szCs w:val="20"/>
          <w:lang w:val="en-US" w:eastAsia="zh-CN"/>
        </w:rPr>
        <w:t>学期交流</w:t>
      </w:r>
      <w:r>
        <w:rPr>
          <w:rFonts w:hint="default" w:ascii="Times New Roman" w:hAnsi="Times New Roman" w:cs="Times New Roman" w:eastAsiaTheme="minorEastAsia"/>
          <w:sz w:val="20"/>
          <w:szCs w:val="20"/>
          <w:lang w:val="en-US" w:eastAsia="zh-CN"/>
        </w:rPr>
        <w:t>，项目内均为</w:t>
      </w:r>
      <w:r>
        <w:rPr>
          <w:rFonts w:hint="default" w:ascii="Times New Roman" w:hAnsi="Times New Roman" w:cs="Times New Roman" w:eastAsiaTheme="minorEastAsia"/>
          <w:b/>
          <w:bCs/>
          <w:sz w:val="20"/>
          <w:szCs w:val="20"/>
          <w:lang w:val="en-US" w:eastAsia="zh-CN"/>
        </w:rPr>
        <w:t>全英语授课</w:t>
      </w:r>
      <w:r>
        <w:rPr>
          <w:rFonts w:hint="default" w:ascii="Times New Roman" w:hAnsi="Times New Roman" w:cs="Times New Roman" w:eastAsiaTheme="minorEastAsia"/>
          <w:sz w:val="20"/>
          <w:szCs w:val="20"/>
          <w:lang w:val="en-US" w:eastAsia="zh-CN"/>
        </w:rPr>
        <w:t>，无法语语言要求。现就有关项目通知如下：</w:t>
      </w:r>
    </w:p>
    <w:p w14:paraId="0BDCBB60">
      <w:pPr>
        <w:rPr>
          <w:rFonts w:hint="default"/>
          <w:lang w:val="en-US" w:eastAsia="zh-CN"/>
        </w:rPr>
      </w:pPr>
    </w:p>
    <w:p w14:paraId="6A7F253A">
      <w:pPr>
        <w:widowControl w:val="0"/>
        <w:numPr>
          <w:ilvl w:val="0"/>
          <w:numId w:val="0"/>
        </w:numPr>
        <w:jc w:val="both"/>
        <w:rPr>
          <w:rFonts w:hint="eastAsia"/>
          <w:lang w:val="en-US" w:eastAsia="zh-CN"/>
        </w:rPr>
      </w:pPr>
    </w:p>
    <w:p w14:paraId="4B3E67B0">
      <w:pPr>
        <w:widowControl w:val="0"/>
        <w:numPr>
          <w:ilvl w:val="0"/>
          <w:numId w:val="0"/>
        </w:num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drawing>
          <wp:inline distT="0" distB="0" distL="0" distR="0">
            <wp:extent cx="1442720" cy="727075"/>
            <wp:effectExtent l="0" t="0" r="0" b="0"/>
            <wp:docPr id="63638314"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8314" name="图片 1" descr="图形用户界面&#10;&#10;描述已自动生成"/>
                    <pic:cNvPicPr>
                      <a:picLocks noChangeAspect="1"/>
                    </pic:cNvPicPr>
                  </pic:nvPicPr>
                  <pic:blipFill>
                    <a:blip r:embed="rId5" cstate="print">
                      <a:extLst>
                        <a:ext uri="{28A0092B-C50C-407E-A947-70E740481C1C}">
                          <a14:useLocalDpi xmlns:a14="http://schemas.microsoft.com/office/drawing/2010/main" val="0"/>
                        </a:ext>
                      </a:extLst>
                    </a:blip>
                    <a:srcRect l="14304" t="29357" r="23106" b="25988"/>
                    <a:stretch>
                      <a:fillRect/>
                    </a:stretch>
                  </pic:blipFill>
                  <pic:spPr>
                    <a:xfrm>
                      <a:off x="0" y="0"/>
                      <a:ext cx="1485515" cy="749107"/>
                    </a:xfrm>
                    <a:prstGeom prst="rect">
                      <a:avLst/>
                    </a:prstGeom>
                    <a:ln>
                      <a:noFill/>
                    </a:ln>
                  </pic:spPr>
                </pic:pic>
              </a:graphicData>
            </a:graphic>
          </wp:inline>
        </w:drawing>
      </w:r>
    </w:p>
    <w:p w14:paraId="01C6C37F">
      <w:pPr>
        <w:widowControl w:val="0"/>
        <w:numPr>
          <w:ilvl w:val="0"/>
          <w:numId w:val="0"/>
        </w:num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drawing>
          <wp:inline distT="0" distB="0" distL="114300" distR="114300">
            <wp:extent cx="2533015" cy="495935"/>
            <wp:effectExtent l="0" t="0" r="0" b="0"/>
            <wp:docPr id="1127334162" name="图片 1127334162" descr="学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34162" name="图片 1127334162" descr="学校1"/>
                    <pic:cNvPicPr>
                      <a:picLocks noChangeAspect="1"/>
                    </pic:cNvPicPr>
                  </pic:nvPicPr>
                  <pic:blipFill>
                    <a:blip r:embed="rId6"/>
                    <a:stretch>
                      <a:fillRect/>
                    </a:stretch>
                  </pic:blipFill>
                  <pic:spPr>
                    <a:xfrm>
                      <a:off x="0" y="0"/>
                      <a:ext cx="2559232" cy="501400"/>
                    </a:xfrm>
                    <a:prstGeom prst="rect">
                      <a:avLst/>
                    </a:prstGeom>
                  </pic:spPr>
                </pic:pic>
              </a:graphicData>
            </a:graphic>
          </wp:inline>
        </w:drawing>
      </w:r>
    </w:p>
    <w:p w14:paraId="347A3348">
      <w:pPr>
        <w:widowControl w:val="0"/>
        <w:numPr>
          <w:ilvl w:val="0"/>
          <w:numId w:val="0"/>
        </w:numPr>
        <w:spacing w:line="360" w:lineRule="auto"/>
        <w:jc w:val="center"/>
        <w:rPr>
          <w:rFonts w:hint="eastAsia"/>
          <w:sz w:val="20"/>
          <w:szCs w:val="20"/>
          <w:lang w:val="en-US" w:eastAsia="zh-CN"/>
        </w:rPr>
      </w:pPr>
      <w:r>
        <w:rPr>
          <w:rFonts w:hint="eastAsia" w:ascii="Times New Roman" w:hAnsi="Times New Roman" w:eastAsia="仿宋" w:cs="Times New Roman"/>
          <w:b/>
          <w:bCs/>
          <w:color w:val="4874CB" w:themeColor="accent1"/>
          <w:sz w:val="20"/>
          <w:szCs w:val="20"/>
          <w:lang w:val="en-US" w:eastAsia="zh-CN"/>
          <w14:textFill>
            <w14:solidFill>
              <w14:schemeClr w14:val="accent1"/>
            </w14:solidFill>
          </w14:textFill>
        </w:rPr>
        <w:t>#全法顶尖视觉设计类院校#</w:t>
      </w:r>
    </w:p>
    <w:p w14:paraId="256A3AB0">
      <w:pPr>
        <w:numPr>
          <w:ilvl w:val="0"/>
          <w:numId w:val="0"/>
        </w:numPr>
        <w:spacing w:line="360" w:lineRule="auto"/>
        <w:rPr>
          <w:rFonts w:hint="eastAsia"/>
          <w:sz w:val="20"/>
          <w:szCs w:val="20"/>
          <w:lang w:val="en-US" w:eastAsia="zh-CN"/>
        </w:rPr>
      </w:pPr>
      <w:r>
        <w:rPr>
          <w:rFonts w:hint="eastAsia" w:ascii="仿宋" w:hAnsi="仿宋" w:eastAsia="仿宋"/>
          <w:sz w:val="21"/>
          <w:szCs w:val="21"/>
          <w:lang w:eastAsia="zh-CN"/>
        </w:rPr>
        <w:drawing>
          <wp:inline distT="0" distB="0" distL="114300" distR="114300">
            <wp:extent cx="5400040" cy="1956435"/>
            <wp:effectExtent l="0" t="0" r="10160" b="12065"/>
            <wp:docPr id="6" name="图片 6" descr="草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草稿"/>
                    <pic:cNvPicPr>
                      <a:picLocks noChangeAspect="1"/>
                    </pic:cNvPicPr>
                  </pic:nvPicPr>
                  <pic:blipFill>
                    <a:blip r:embed="rId7"/>
                    <a:srcRect l="1445" t="24889" r="1385" b="25315"/>
                    <a:stretch>
                      <a:fillRect/>
                    </a:stretch>
                  </pic:blipFill>
                  <pic:spPr>
                    <a:xfrm>
                      <a:off x="0" y="0"/>
                      <a:ext cx="5400040" cy="1956435"/>
                    </a:xfrm>
                    <a:prstGeom prst="rect">
                      <a:avLst/>
                    </a:prstGeom>
                  </pic:spPr>
                </pic:pic>
              </a:graphicData>
            </a:graphic>
          </wp:inline>
        </w:drawing>
      </w:r>
    </w:p>
    <w:p w14:paraId="1FC7869D">
      <w:pPr>
        <w:numPr>
          <w:ilvl w:val="0"/>
          <w:numId w:val="0"/>
        </w:numPr>
        <w:spacing w:line="360" w:lineRule="auto"/>
        <w:rPr>
          <w:rFonts w:hint="eastAsia"/>
          <w:b/>
          <w:bCs/>
          <w:sz w:val="20"/>
          <w:szCs w:val="20"/>
          <w:lang w:val="en-US" w:eastAsia="zh-CN"/>
        </w:rPr>
      </w:pPr>
      <w:r>
        <w:rPr>
          <w:rFonts w:hint="eastAsia"/>
          <w:b/>
          <w:bCs/>
          <w:sz w:val="20"/>
          <w:szCs w:val="20"/>
          <w:lang w:val="en-US" w:eastAsia="zh-CN"/>
        </w:rPr>
        <w:t>一、学校介绍</w:t>
      </w:r>
    </w:p>
    <w:p w14:paraId="46A6F09C">
      <w:pPr>
        <w:spacing w:line="360" w:lineRule="auto"/>
        <w:ind w:firstLine="420" w:firstLineChars="0"/>
        <w:rPr>
          <w:rFonts w:hint="eastAsia"/>
          <w:sz w:val="20"/>
          <w:szCs w:val="20"/>
          <w:lang w:val="en-US" w:eastAsia="zh-CN"/>
        </w:rPr>
      </w:pPr>
      <w:r>
        <w:rPr>
          <w:rFonts w:hint="eastAsia"/>
          <w:b/>
          <w:bCs/>
          <w:sz w:val="20"/>
          <w:szCs w:val="20"/>
          <w:lang w:val="en-US" w:eastAsia="zh-CN"/>
        </w:rPr>
        <w:t>巴黎高等视觉设计学院（Ecole Intuit. Lab）</w:t>
      </w:r>
      <w:r>
        <w:rPr>
          <w:rFonts w:hint="eastAsia"/>
          <w:sz w:val="20"/>
          <w:szCs w:val="20"/>
          <w:lang w:val="en-US" w:eastAsia="zh-CN"/>
        </w:rPr>
        <w:t>是一所五年制本硕连读的法国高等艺术院校，颁发中法两国教育部认证的硕士文凭。在</w:t>
      </w:r>
      <w:r>
        <w:rPr>
          <w:rFonts w:hint="eastAsia"/>
          <w:b/>
          <w:bCs/>
          <w:sz w:val="20"/>
          <w:szCs w:val="20"/>
          <w:lang w:val="en-US" w:eastAsia="zh-CN"/>
        </w:rPr>
        <w:t>2025年法国权威排名Eduniversal</w:t>
      </w:r>
      <w:r>
        <w:rPr>
          <w:rFonts w:hint="eastAsia"/>
          <w:sz w:val="20"/>
          <w:szCs w:val="20"/>
          <w:lang w:val="en-US" w:eastAsia="zh-CN"/>
        </w:rPr>
        <w:t>艺术与设计类院校排名中表现卓越，品牌战略与设计硕士荣登</w:t>
      </w:r>
      <w:r>
        <w:rPr>
          <w:rFonts w:hint="eastAsia"/>
          <w:b/>
          <w:bCs/>
          <w:sz w:val="20"/>
          <w:szCs w:val="20"/>
          <w:lang w:val="en-US" w:eastAsia="zh-CN"/>
        </w:rPr>
        <w:t>"设计与视觉传达"领域榜首，并连续五年稳居该权威榜单前三名。</w:t>
      </w:r>
      <w:r>
        <w:rPr>
          <w:rFonts w:hint="eastAsia"/>
          <w:sz w:val="20"/>
          <w:szCs w:val="20"/>
          <w:lang w:val="en-US" w:eastAsia="zh-CN"/>
        </w:rPr>
        <w:t>学校坐落于巴黎艺术核心15区，毗邻埃菲尔铁塔，是目前法国唯一</w:t>
      </w:r>
      <w:r>
        <w:rPr>
          <w:rFonts w:hint="eastAsia"/>
          <w:b/>
          <w:bCs/>
          <w:sz w:val="20"/>
          <w:szCs w:val="20"/>
          <w:lang w:val="en-US" w:eastAsia="zh-CN"/>
        </w:rPr>
        <w:t>集学院、专业设计事务所和职业中心于一体</w:t>
      </w:r>
      <w:r>
        <w:rPr>
          <w:rFonts w:hint="eastAsia"/>
          <w:sz w:val="20"/>
          <w:szCs w:val="20"/>
          <w:lang w:val="en-US" w:eastAsia="zh-CN"/>
        </w:rPr>
        <w:t>的高等艺术院校，在视觉艺术和品牌策略设计等领域享有国际声誉。</w:t>
      </w:r>
    </w:p>
    <w:p w14:paraId="6A8AB8A5">
      <w:pPr>
        <w:spacing w:line="360" w:lineRule="auto"/>
        <w:jc w:val="center"/>
        <w:rPr>
          <w:rFonts w:hint="eastAsia"/>
          <w:sz w:val="20"/>
          <w:szCs w:val="20"/>
          <w:lang w:val="en-US" w:eastAsia="zh-CN"/>
        </w:rPr>
      </w:pPr>
      <w:r>
        <w:drawing>
          <wp:inline distT="0" distB="0" distL="114300" distR="114300">
            <wp:extent cx="3843655" cy="1080135"/>
            <wp:effectExtent l="0" t="0" r="4445"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3843655" cy="1080135"/>
                    </a:xfrm>
                    <a:prstGeom prst="rect">
                      <a:avLst/>
                    </a:prstGeom>
                    <a:noFill/>
                    <a:ln>
                      <a:noFill/>
                    </a:ln>
                  </pic:spPr>
                </pic:pic>
              </a:graphicData>
            </a:graphic>
          </wp:inline>
        </w:drawing>
      </w:r>
    </w:p>
    <w:p w14:paraId="365608BA">
      <w:pPr>
        <w:spacing w:line="360" w:lineRule="auto"/>
        <w:ind w:firstLine="420" w:firstLineChars="0"/>
        <w:rPr>
          <w:rFonts w:hint="default" w:ascii="Times New Roman" w:hAnsi="Times New Roman" w:cs="Times New Roman"/>
          <w:sz w:val="20"/>
          <w:szCs w:val="20"/>
          <w:lang w:val="en-US" w:eastAsia="zh-CN"/>
        </w:rPr>
      </w:pPr>
      <w:r>
        <w:rPr>
          <w:rFonts w:hint="eastAsia"/>
          <w:sz w:val="20"/>
          <w:szCs w:val="20"/>
          <w:lang w:val="en-US" w:eastAsia="zh-CN"/>
        </w:rPr>
        <w:t>学校由国际知名设计师克莱蒙先生联合创立并担任校长，其曾主导法国达索航空、海军集团和鳄</w:t>
      </w:r>
      <w:r>
        <w:rPr>
          <w:rFonts w:hint="default" w:ascii="Times New Roman" w:hAnsi="Times New Roman" w:cs="Times New Roman"/>
          <w:sz w:val="20"/>
          <w:szCs w:val="20"/>
          <w:lang w:val="en-US" w:eastAsia="zh-CN"/>
        </w:rPr>
        <w:t>鱼品牌等国际知名设计项目。师资团队汇聚了巴黎城市标识设计师、2024奥运会视觉主创等业界权威，以及跨领域设计大师Ruedi Baur教授，其蓬皮杜艺术中心公共导视系统等标志性项目享誉全球。这些顶尖专家均在校执教十余年，形成强大的教学团队。</w:t>
      </w:r>
    </w:p>
    <w:p w14:paraId="47DF0C25">
      <w:pPr>
        <w:keepNext w:val="0"/>
        <w:keepLines w:val="0"/>
        <w:widowControl/>
        <w:suppressLineNumbers w:val="0"/>
        <w:spacing w:line="360" w:lineRule="auto"/>
        <w:jc w:val="center"/>
        <w:rPr>
          <w:rFonts w:hint="eastAsia" w:ascii="Times New Roman" w:hAnsi="Times New Roman" w:cs="Times New Roman" w:eastAsiaTheme="minorEastAsia"/>
          <w:sz w:val="20"/>
          <w:szCs w:val="20"/>
          <w:lang w:val="en-US" w:eastAsia="zh-CN"/>
        </w:rPr>
      </w:pPr>
      <w:r>
        <w:rPr>
          <w:rFonts w:hint="eastAsia" w:ascii="Times New Roman" w:hAnsi="Times New Roman" w:cs="Times New Roman" w:eastAsiaTheme="minorEastAsia"/>
          <w:sz w:val="20"/>
          <w:szCs w:val="20"/>
          <w:lang w:val="en-US" w:eastAsia="zh-CN"/>
        </w:rPr>
        <w:drawing>
          <wp:inline distT="0" distB="0" distL="114300" distR="114300">
            <wp:extent cx="2628265" cy="1970405"/>
            <wp:effectExtent l="0" t="0" r="635" b="10795"/>
            <wp:docPr id="16" name="图片 16" descr="dbabdc607e416d936af0aeb406a2d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babdc607e416d936af0aeb406a2d965"/>
                    <pic:cNvPicPr>
                      <a:picLocks noChangeAspect="1"/>
                    </pic:cNvPicPr>
                  </pic:nvPicPr>
                  <pic:blipFill>
                    <a:blip r:embed="rId9"/>
                    <a:stretch>
                      <a:fillRect/>
                    </a:stretch>
                  </pic:blipFill>
                  <pic:spPr>
                    <a:xfrm>
                      <a:off x="0" y="0"/>
                      <a:ext cx="2628265" cy="1970405"/>
                    </a:xfrm>
                    <a:prstGeom prst="rect">
                      <a:avLst/>
                    </a:prstGeom>
                  </pic:spPr>
                </pic:pic>
              </a:graphicData>
            </a:graphic>
          </wp:inline>
        </w:drawing>
      </w:r>
      <w:r>
        <w:rPr>
          <w:rFonts w:hint="eastAsia" w:ascii="Times New Roman" w:hAnsi="Times New Roman" w:cs="Times New Roman" w:eastAsiaTheme="minorEastAsia"/>
          <w:sz w:val="20"/>
          <w:szCs w:val="20"/>
          <w:lang w:val="en-US" w:eastAsia="zh-CN"/>
        </w:rPr>
        <w:drawing>
          <wp:inline distT="0" distB="0" distL="114300" distR="114300">
            <wp:extent cx="2628265" cy="1970405"/>
            <wp:effectExtent l="0" t="0" r="635" b="10795"/>
            <wp:docPr id="18" name="图片 18" descr="55d49f685435932d4421200a6a71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5d49f685435932d4421200a6a710049"/>
                    <pic:cNvPicPr>
                      <a:picLocks noChangeAspect="1"/>
                    </pic:cNvPicPr>
                  </pic:nvPicPr>
                  <pic:blipFill>
                    <a:blip r:embed="rId10"/>
                    <a:stretch>
                      <a:fillRect/>
                    </a:stretch>
                  </pic:blipFill>
                  <pic:spPr>
                    <a:xfrm>
                      <a:off x="0" y="0"/>
                      <a:ext cx="2628265" cy="1970405"/>
                    </a:xfrm>
                    <a:prstGeom prst="rect">
                      <a:avLst/>
                    </a:prstGeom>
                  </pic:spPr>
                </pic:pic>
              </a:graphicData>
            </a:graphic>
          </wp:inline>
        </w:drawing>
      </w:r>
    </w:p>
    <w:p w14:paraId="6A4080EB">
      <w:pPr>
        <w:keepNext w:val="0"/>
        <w:keepLines w:val="0"/>
        <w:widowControl/>
        <w:suppressLineNumbers w:val="0"/>
        <w:spacing w:line="360" w:lineRule="auto"/>
        <w:jc w:val="center"/>
        <w:rPr>
          <w:rFonts w:hint="eastAsia" w:ascii="Times New Roman" w:hAnsi="Times New Roman" w:cs="Times New Roman" w:eastAsiaTheme="minorEastAsia"/>
          <w:sz w:val="20"/>
          <w:szCs w:val="20"/>
          <w:lang w:val="en-US" w:eastAsia="zh-CN"/>
        </w:rPr>
      </w:pPr>
      <w:r>
        <w:rPr>
          <w:rFonts w:hint="eastAsia" w:ascii="Times New Roman" w:hAnsi="Times New Roman" w:cs="Times New Roman"/>
          <w:sz w:val="20"/>
          <w:szCs w:val="20"/>
          <w:lang w:val="en-US" w:eastAsia="zh-CN"/>
        </w:rPr>
        <w:t>（自有事务所Seenk部分合作项目）</w:t>
      </w:r>
    </w:p>
    <w:p w14:paraId="63D4DFE3">
      <w:pPr>
        <w:spacing w:line="360" w:lineRule="auto"/>
        <w:ind w:firstLine="420" w:firstLineChars="0"/>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学校坚持以“培养引领未来发展的创意设计师”为理念，强调理论与实践结合，注重培养学生的独立思考、审美和实用主义精神，培养了大批创意、设计、视觉艺术和数字领域的优秀人才。学</w:t>
      </w:r>
      <w:r>
        <w:rPr>
          <w:rFonts w:hint="eastAsia" w:ascii="Times New Roman" w:hAnsi="Times New Roman" w:cs="Times New Roman"/>
          <w:sz w:val="20"/>
          <w:szCs w:val="20"/>
          <w:lang w:val="en-US" w:eastAsia="zh-CN"/>
        </w:rPr>
        <w:t>校</w:t>
      </w:r>
      <w:r>
        <w:rPr>
          <w:rFonts w:hint="default" w:ascii="Times New Roman" w:hAnsi="Times New Roman" w:cs="Times New Roman"/>
          <w:sz w:val="20"/>
          <w:szCs w:val="20"/>
          <w:lang w:val="en-US" w:eastAsia="zh-CN"/>
        </w:rPr>
        <w:t>与</w:t>
      </w:r>
      <w:r>
        <w:rPr>
          <w:rFonts w:hint="default" w:ascii="Times New Roman" w:hAnsi="Times New Roman" w:cs="Times New Roman"/>
          <w:b/>
          <w:bCs/>
          <w:sz w:val="20"/>
          <w:szCs w:val="20"/>
          <w:lang w:val="en-US" w:eastAsia="zh-CN"/>
        </w:rPr>
        <w:t>1000多家</w:t>
      </w:r>
      <w:r>
        <w:rPr>
          <w:rFonts w:hint="default" w:ascii="Times New Roman" w:hAnsi="Times New Roman" w:cs="Times New Roman"/>
          <w:sz w:val="20"/>
          <w:szCs w:val="20"/>
          <w:lang w:val="en-US" w:eastAsia="zh-CN"/>
        </w:rPr>
        <w:t>企业及机构合作，每年举办专题项目周、竞赛展览、导师工坊及</w:t>
      </w:r>
      <w:r>
        <w:rPr>
          <w:rFonts w:hint="default" w:ascii="Times New Roman" w:hAnsi="Times New Roman" w:cs="Times New Roman"/>
          <w:b/>
          <w:bCs/>
          <w:sz w:val="20"/>
          <w:szCs w:val="20"/>
          <w:lang w:val="en-US" w:eastAsia="zh-CN"/>
        </w:rPr>
        <w:t>DesigNxt优秀人才推介会</w:t>
      </w:r>
      <w:r>
        <w:rPr>
          <w:rFonts w:hint="default" w:ascii="Times New Roman" w:hAnsi="Times New Roman" w:cs="Times New Roman"/>
          <w:sz w:val="20"/>
          <w:szCs w:val="20"/>
          <w:lang w:val="en-US" w:eastAsia="zh-CN"/>
        </w:rPr>
        <w:t>等，帮助学生触达多元职业资源，尽快融入职业生涯，</w:t>
      </w:r>
      <w:r>
        <w:rPr>
          <w:rFonts w:hint="default" w:ascii="Times New Roman" w:hAnsi="Times New Roman" w:cs="Times New Roman"/>
          <w:b/>
          <w:bCs/>
          <w:sz w:val="20"/>
          <w:szCs w:val="20"/>
          <w:lang w:val="en-US" w:eastAsia="zh-CN"/>
        </w:rPr>
        <w:t>90%</w:t>
      </w:r>
      <w:r>
        <w:rPr>
          <w:rFonts w:hint="default" w:ascii="Times New Roman" w:hAnsi="Times New Roman" w:cs="Times New Roman"/>
          <w:sz w:val="20"/>
          <w:szCs w:val="20"/>
          <w:lang w:val="en-US" w:eastAsia="zh-CN"/>
        </w:rPr>
        <w:t>的毕业生在半年内就业，平均年薪约30万人民币。在Eduniversal排名中，</w:t>
      </w:r>
      <w:r>
        <w:rPr>
          <w:rFonts w:hint="default" w:ascii="Times New Roman" w:hAnsi="Times New Roman" w:cs="Times New Roman"/>
          <w:b/>
          <w:bCs/>
          <w:sz w:val="20"/>
          <w:szCs w:val="20"/>
          <w:lang w:val="en-US" w:eastAsia="zh-CN"/>
        </w:rPr>
        <w:t>"行业合作资源"</w:t>
      </w:r>
      <w:r>
        <w:rPr>
          <w:rFonts w:hint="default" w:ascii="Times New Roman" w:hAnsi="Times New Roman" w:cs="Times New Roman"/>
          <w:b w:val="0"/>
          <w:bCs w:val="0"/>
          <w:sz w:val="20"/>
          <w:szCs w:val="20"/>
          <w:lang w:val="en-US" w:eastAsia="zh-CN"/>
        </w:rPr>
        <w:t>与</w:t>
      </w:r>
      <w:r>
        <w:rPr>
          <w:rFonts w:hint="default" w:ascii="Times New Roman" w:hAnsi="Times New Roman" w:cs="Times New Roman"/>
          <w:b/>
          <w:bCs/>
          <w:sz w:val="20"/>
          <w:szCs w:val="20"/>
          <w:lang w:val="en-US" w:eastAsia="zh-CN"/>
        </w:rPr>
        <w:t>"毕业生薪资水平"</w:t>
      </w:r>
      <w:r>
        <w:rPr>
          <w:rFonts w:hint="default" w:ascii="Times New Roman" w:hAnsi="Times New Roman" w:cs="Times New Roman"/>
          <w:sz w:val="20"/>
          <w:szCs w:val="20"/>
          <w:lang w:val="en-US" w:eastAsia="zh-CN"/>
        </w:rPr>
        <w:t>两项指标获得高分评价，进一步巩固了其作为法国视觉设计教育标杆的地位。</w:t>
      </w:r>
    </w:p>
    <w:p w14:paraId="0B7F7413">
      <w:pPr>
        <w:spacing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drawing>
          <wp:inline distT="0" distB="0" distL="114300" distR="114300">
            <wp:extent cx="1528445" cy="1296035"/>
            <wp:effectExtent l="0" t="0" r="8255" b="12065"/>
            <wp:docPr id="4" name="图片 4" descr="0322ceb189f4c430065012bf0119a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322ceb189f4c430065012bf0119a603"/>
                    <pic:cNvPicPr>
                      <a:picLocks noChangeAspect="1"/>
                    </pic:cNvPicPr>
                  </pic:nvPicPr>
                  <pic:blipFill>
                    <a:blip r:embed="rId11"/>
                    <a:stretch>
                      <a:fillRect/>
                    </a:stretch>
                  </pic:blipFill>
                  <pic:spPr>
                    <a:xfrm>
                      <a:off x="0" y="0"/>
                      <a:ext cx="1528445" cy="1296035"/>
                    </a:xfrm>
                    <a:prstGeom prst="rect">
                      <a:avLst/>
                    </a:prstGeom>
                  </pic:spPr>
                </pic:pic>
              </a:graphicData>
            </a:graphic>
          </wp:inline>
        </w:drawing>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INCLUDEPICTURE "/Users/qing/Library/Group Containers/UBF8T346G9.ms/WebArchiveCopyPasteTempFiles/com.microsoft.Word/640?wx_fmt=png&amp;from=appmsg&amp;tp=webp&amp;wxfrom=5&amp;wx_lazy=1&amp;wx_co=1" \* MERGEFORMATINET </w:instrText>
      </w:r>
      <w:r>
        <w:rPr>
          <w:rFonts w:hint="eastAsia" w:ascii="仿宋" w:hAnsi="仿宋" w:eastAsia="仿宋" w:cs="仿宋"/>
          <w:sz w:val="21"/>
          <w:szCs w:val="21"/>
        </w:rPr>
        <w:fldChar w:fldCharType="separate"/>
      </w:r>
      <w:r>
        <w:rPr>
          <w:rFonts w:hint="eastAsia" w:ascii="仿宋" w:hAnsi="仿宋" w:eastAsia="仿宋" w:cs="仿宋"/>
          <w:sz w:val="21"/>
          <w:szCs w:val="21"/>
        </w:rPr>
        <w:drawing>
          <wp:inline distT="0" distB="0" distL="0" distR="0">
            <wp:extent cx="3456940" cy="1296035"/>
            <wp:effectExtent l="0" t="0" r="10160" b="12065"/>
            <wp:docPr id="18450868"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868" name="图片 1"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456940" cy="1296035"/>
                    </a:xfrm>
                    <a:prstGeom prst="rect">
                      <a:avLst/>
                    </a:prstGeom>
                    <a:noFill/>
                    <a:ln>
                      <a:noFill/>
                    </a:ln>
                  </pic:spPr>
                </pic:pic>
              </a:graphicData>
            </a:graphic>
          </wp:inline>
        </w:drawing>
      </w:r>
      <w:r>
        <w:rPr>
          <w:rFonts w:hint="eastAsia" w:ascii="仿宋" w:hAnsi="仿宋" w:eastAsia="仿宋" w:cs="仿宋"/>
          <w:sz w:val="21"/>
          <w:szCs w:val="21"/>
        </w:rPr>
        <w:fldChar w:fldCharType="end"/>
      </w:r>
    </w:p>
    <w:p w14:paraId="2B1B9F7E">
      <w:pPr>
        <w:spacing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eastAsia="zh-CN"/>
        </w:rPr>
        <w:t>（</w:t>
      </w:r>
      <w:r>
        <w:rPr>
          <w:rFonts w:hint="default" w:ascii="Times New Roman" w:hAnsi="Times New Roman" w:cs="Times New Roman"/>
          <w:sz w:val="20"/>
          <w:szCs w:val="20"/>
          <w:lang w:val="en-US" w:eastAsia="zh-CN"/>
        </w:rPr>
        <w:t>DesigNxt 优秀人才推介会</w:t>
      </w:r>
      <w:r>
        <w:rPr>
          <w:rFonts w:hint="default" w:ascii="Times New Roman" w:hAnsi="Times New Roman" w:cs="Times New Roman"/>
          <w:sz w:val="20"/>
          <w:szCs w:val="20"/>
          <w:lang w:eastAsia="zh-CN"/>
        </w:rPr>
        <w:t>）</w:t>
      </w:r>
    </w:p>
    <w:p w14:paraId="5B2B99B1">
      <w:pPr>
        <w:spacing w:line="360" w:lineRule="auto"/>
        <w:rPr>
          <w:rFonts w:hint="default" w:ascii="Times New Roman" w:hAnsi="Times New Roman" w:cs="Times New Roman"/>
          <w:sz w:val="20"/>
          <w:szCs w:val="20"/>
          <w:lang w:val="en-US" w:eastAsia="zh-CN"/>
        </w:rPr>
      </w:pPr>
    </w:p>
    <w:p w14:paraId="1C23BDA7">
      <w:pPr>
        <w:numPr>
          <w:ilvl w:val="0"/>
          <w:numId w:val="1"/>
        </w:numPr>
        <w:spacing w:line="360" w:lineRule="auto"/>
        <w:rPr>
          <w:rFonts w:hint="default" w:ascii="Times New Roman" w:hAnsi="Times New Roman" w:cs="Times New Roman"/>
          <w:b/>
          <w:bCs/>
          <w:sz w:val="20"/>
          <w:szCs w:val="20"/>
          <w:lang w:val="en-US" w:eastAsia="zh-CN"/>
        </w:rPr>
      </w:pPr>
      <w:r>
        <w:rPr>
          <w:rFonts w:hint="default" w:ascii="Times New Roman" w:hAnsi="Times New Roman" w:cs="Times New Roman"/>
          <w:b/>
          <w:bCs/>
          <w:sz w:val="20"/>
          <w:szCs w:val="20"/>
          <w:lang w:val="en-US" w:eastAsia="zh-CN"/>
        </w:rPr>
        <w:t>项目内容</w:t>
      </w:r>
    </w:p>
    <w:p w14:paraId="38786810">
      <w:pPr>
        <w:numPr>
          <w:ilvl w:val="0"/>
          <w:numId w:val="2"/>
        </w:numPr>
        <w:spacing w:line="360" w:lineRule="auto"/>
        <w:rPr>
          <w:rFonts w:hint="default" w:ascii="Times New Roman" w:hAnsi="Times New Roman" w:cs="Times New Roman"/>
          <w:sz w:val="20"/>
          <w:szCs w:val="20"/>
          <w:lang w:val="en-US" w:eastAsia="zh-CN"/>
        </w:rPr>
      </w:pPr>
      <w:r>
        <w:rPr>
          <w:rFonts w:hint="eastAsia" w:ascii="Times New Roman" w:hAnsi="Times New Roman" w:cs="Times New Roman"/>
          <w:b/>
          <w:bCs/>
          <w:sz w:val="20"/>
          <w:szCs w:val="20"/>
          <w:lang w:val="en-US" w:eastAsia="zh-CN"/>
        </w:rPr>
        <w:t>项目概述：</w:t>
      </w:r>
      <w:r>
        <w:rPr>
          <w:rFonts w:hint="eastAsia" w:ascii="Times New Roman" w:hAnsi="Times New Roman" w:cs="Times New Roman"/>
          <w:sz w:val="20"/>
          <w:szCs w:val="20"/>
          <w:lang w:val="en-US" w:eastAsia="zh-CN"/>
        </w:rPr>
        <w:t>针对上海工程技术大学在读本科生和研究生，可选择于</w:t>
      </w:r>
      <w:r>
        <w:rPr>
          <w:rFonts w:hint="eastAsia" w:ascii="Times New Roman" w:hAnsi="Times New Roman" w:cs="Times New Roman"/>
          <w:b/>
          <w:bCs/>
          <w:color w:val="0000FF"/>
          <w:sz w:val="20"/>
          <w:szCs w:val="20"/>
          <w:lang w:val="en-US" w:eastAsia="zh-CN"/>
        </w:rPr>
        <w:t>秋季学期或春季学期</w:t>
      </w:r>
      <w:r>
        <w:rPr>
          <w:rFonts w:hint="eastAsia" w:ascii="Times New Roman" w:hAnsi="Times New Roman" w:cs="Times New Roman"/>
          <w:sz w:val="20"/>
          <w:szCs w:val="20"/>
          <w:lang w:val="en-US" w:eastAsia="zh-CN"/>
        </w:rPr>
        <w:t>赴巴黎高等视觉设计学院进行一学期的学习交流并获得对应成绩学分以及学习证明，参加本项目所获学分经上海工程技术大学相关单位审核后将转换为被认可的相关学分，并计入学分系统。</w:t>
      </w:r>
    </w:p>
    <w:p w14:paraId="40115E8D">
      <w:pPr>
        <w:numPr>
          <w:ilvl w:val="0"/>
          <w:numId w:val="2"/>
        </w:numPr>
        <w:spacing w:line="360" w:lineRule="auto"/>
        <w:rPr>
          <w:rFonts w:hint="default" w:ascii="Times New Roman" w:hAnsi="Times New Roman" w:cs="Times New Roman"/>
          <w:sz w:val="20"/>
          <w:szCs w:val="20"/>
          <w:lang w:val="en-US" w:eastAsia="zh-CN"/>
        </w:rPr>
      </w:pPr>
      <w:r>
        <w:rPr>
          <w:rFonts w:hint="eastAsia" w:ascii="Times New Roman" w:hAnsi="Times New Roman" w:cs="Times New Roman"/>
          <w:b/>
          <w:bCs/>
          <w:sz w:val="20"/>
          <w:szCs w:val="20"/>
          <w:lang w:val="en-US" w:eastAsia="zh-CN"/>
        </w:rPr>
        <w:t>授课语言：</w:t>
      </w:r>
      <w:r>
        <w:rPr>
          <w:rFonts w:hint="eastAsia" w:ascii="Times New Roman" w:hAnsi="Times New Roman" w:cs="Times New Roman"/>
          <w:sz w:val="20"/>
          <w:szCs w:val="20"/>
          <w:lang w:val="en-US" w:eastAsia="zh-CN"/>
        </w:rPr>
        <w:t>英语</w:t>
      </w:r>
    </w:p>
    <w:p w14:paraId="1231B6E3">
      <w:pPr>
        <w:numPr>
          <w:ilvl w:val="0"/>
          <w:numId w:val="2"/>
        </w:numPr>
        <w:spacing w:line="360" w:lineRule="auto"/>
        <w:rPr>
          <w:rFonts w:hint="default" w:ascii="Times New Roman" w:hAnsi="Times New Roman" w:cs="Times New Roman"/>
          <w:sz w:val="20"/>
          <w:szCs w:val="20"/>
          <w:lang w:val="en-US" w:eastAsia="zh-CN"/>
        </w:rPr>
      </w:pPr>
      <w:r>
        <w:rPr>
          <w:rFonts w:hint="eastAsia" w:ascii="Times New Roman" w:hAnsi="Times New Roman" w:cs="Times New Roman"/>
          <w:b/>
          <w:bCs/>
          <w:sz w:val="20"/>
          <w:szCs w:val="20"/>
          <w:lang w:val="en-US" w:eastAsia="zh-CN"/>
        </w:rPr>
        <w:t>申请要求：</w:t>
      </w:r>
      <w:bookmarkStart w:id="0" w:name="_GoBack"/>
      <w:r>
        <w:rPr>
          <w:rFonts w:hint="eastAsia" w:ascii="Times New Roman" w:hAnsi="Times New Roman" w:cs="Times New Roman"/>
          <w:sz w:val="20"/>
          <w:szCs w:val="20"/>
          <w:lang w:val="en-US" w:eastAsia="zh-CN"/>
        </w:rPr>
        <w:t>能适应英文授课环境，无法语要求；</w:t>
      </w:r>
    </w:p>
    <w:p w14:paraId="30F4F2F3">
      <w:pPr>
        <w:numPr>
          <w:ilvl w:val="0"/>
          <w:numId w:val="0"/>
        </w:numPr>
        <w:spacing w:line="360" w:lineRule="auto"/>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可申请学生专业（包括但不限于）：视觉传达设计、产品设计、艺术与科技、工业设计、数字媒体艺术、环境设计等。</w:t>
      </w:r>
    </w:p>
    <w:bookmarkEnd w:id="0"/>
    <w:p w14:paraId="470BBAE4">
      <w:pPr>
        <w:numPr>
          <w:ilvl w:val="0"/>
          <w:numId w:val="2"/>
        </w:numPr>
        <w:spacing w:line="360" w:lineRule="auto"/>
        <w:ind w:left="0" w:leftChars="0" w:firstLine="0" w:firstLineChars="0"/>
        <w:rPr>
          <w:rFonts w:hint="default" w:ascii="Times New Roman" w:hAnsi="Times New Roman" w:cs="Times New Roman"/>
          <w:sz w:val="20"/>
          <w:szCs w:val="20"/>
          <w:lang w:val="en-US" w:eastAsia="zh-CN"/>
        </w:rPr>
      </w:pPr>
      <w:r>
        <w:rPr>
          <w:rFonts w:hint="eastAsia" w:ascii="Times New Roman" w:hAnsi="Times New Roman" w:cs="Times New Roman"/>
          <w:b/>
          <w:bCs/>
          <w:sz w:val="20"/>
          <w:szCs w:val="20"/>
          <w:lang w:val="en-US" w:eastAsia="zh-CN"/>
        </w:rPr>
        <w:t>项目费用</w:t>
      </w:r>
      <w:r>
        <w:rPr>
          <w:rFonts w:hint="eastAsia" w:ascii="Times New Roman" w:hAnsi="Times New Roman" w:cs="Times New Roman"/>
          <w:sz w:val="20"/>
          <w:szCs w:val="20"/>
          <w:lang w:val="en-US" w:eastAsia="zh-CN"/>
        </w:rPr>
        <w:t>：6000欧元</w:t>
      </w:r>
    </w:p>
    <w:p w14:paraId="25B675AB">
      <w:pPr>
        <w:numPr>
          <w:ilvl w:val="0"/>
          <w:numId w:val="0"/>
        </w:numPr>
        <w:spacing w:line="360" w:lineRule="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以上费用含项目申请费、一学期学费、签证办理服务、境外服务费用；不包含由法领馆及签证中心收取的法国申根签证费用与增值服务费、往返机票、在法期间食宿和交通等相关费用，具体情况请咨询相关老师。</w:t>
      </w:r>
    </w:p>
    <w:p w14:paraId="7FDDBEEB">
      <w:pPr>
        <w:numPr>
          <w:ilvl w:val="0"/>
          <w:numId w:val="2"/>
        </w:numPr>
        <w:spacing w:line="360" w:lineRule="auto"/>
        <w:ind w:left="0" w:leftChars="0" w:firstLine="0" w:firstLineChars="0"/>
        <w:rPr>
          <w:rFonts w:hint="default" w:ascii="Times New Roman" w:hAnsi="Times New Roman" w:cs="Times New Roman"/>
          <w:sz w:val="20"/>
          <w:szCs w:val="20"/>
          <w:lang w:val="en-US" w:eastAsia="zh-CN"/>
        </w:rPr>
      </w:pPr>
      <w:r>
        <w:rPr>
          <w:rFonts w:hint="eastAsia" w:ascii="Times New Roman" w:hAnsi="Times New Roman" w:cs="Times New Roman"/>
          <w:b/>
          <w:bCs/>
          <w:sz w:val="20"/>
          <w:szCs w:val="20"/>
          <w:lang w:val="en-US" w:eastAsia="zh-CN"/>
        </w:rPr>
        <w:t>申请截止日期：</w:t>
      </w:r>
      <w:r>
        <w:rPr>
          <w:rFonts w:hint="eastAsia" w:ascii="Times New Roman" w:hAnsi="Times New Roman" w:cs="Times New Roman"/>
          <w:sz w:val="20"/>
          <w:szCs w:val="20"/>
          <w:lang w:val="en-US" w:eastAsia="zh-CN"/>
        </w:rPr>
        <w:t>春季学期每年12月30日;秋季学期每年6月30日。</w:t>
      </w:r>
    </w:p>
    <w:p w14:paraId="58182E35">
      <w:pPr>
        <w:widowControl w:val="0"/>
        <w:numPr>
          <w:ilvl w:val="0"/>
          <w:numId w:val="0"/>
        </w:numPr>
        <w:spacing w:line="360" w:lineRule="auto"/>
        <w:ind w:leftChars="0"/>
        <w:jc w:val="both"/>
        <w:rPr>
          <w:rFonts w:hint="default" w:ascii="Times New Roman" w:hAnsi="Times New Roman" w:cs="Times New Roman"/>
          <w:sz w:val="20"/>
          <w:szCs w:val="20"/>
          <w:lang w:val="en-US" w:eastAsia="zh-CN"/>
        </w:rPr>
      </w:pPr>
    </w:p>
    <w:p w14:paraId="31BDB818">
      <w:pPr>
        <w:numPr>
          <w:ilvl w:val="0"/>
          <w:numId w:val="1"/>
        </w:numPr>
        <w:spacing w:line="360" w:lineRule="auto"/>
        <w:rPr>
          <w:rFonts w:hint="default" w:ascii="Times New Roman" w:hAnsi="Times New Roman" w:cs="Times New Roman"/>
          <w:b/>
          <w:bCs/>
          <w:sz w:val="20"/>
          <w:szCs w:val="20"/>
          <w:lang w:val="en-US" w:eastAsia="zh-CN"/>
        </w:rPr>
      </w:pPr>
      <w:r>
        <w:rPr>
          <w:rFonts w:hint="default" w:ascii="Times New Roman" w:hAnsi="Times New Roman" w:cs="Times New Roman"/>
          <w:b/>
          <w:bCs/>
          <w:sz w:val="20"/>
          <w:szCs w:val="20"/>
          <w:lang w:val="en-US" w:eastAsia="zh-CN"/>
        </w:rPr>
        <w:t>项目优势</w:t>
      </w:r>
    </w:p>
    <w:p w14:paraId="19B44671">
      <w:pPr>
        <w:numPr>
          <w:ilvl w:val="0"/>
          <w:numId w:val="3"/>
        </w:numPr>
        <w:spacing w:line="360" w:lineRule="auto"/>
        <w:ind w:leftChars="0"/>
        <w:rPr>
          <w:rFonts w:hint="default" w:ascii="Times New Roman" w:hAnsi="Times New Roman" w:cs="Times New Roman"/>
          <w:sz w:val="20"/>
          <w:szCs w:val="20"/>
          <w:lang w:val="en-US" w:eastAsia="zh-CN"/>
        </w:rPr>
      </w:pPr>
      <w:r>
        <w:rPr>
          <w:rFonts w:hint="default" w:ascii="Times New Roman" w:hAnsi="Times New Roman" w:cs="Times New Roman"/>
          <w:b/>
          <w:bCs/>
          <w:sz w:val="20"/>
          <w:szCs w:val="20"/>
          <w:lang w:val="en-US" w:eastAsia="zh-CN"/>
        </w:rPr>
        <w:t>强大的师资团队与国际化教学体系</w:t>
      </w:r>
      <w:r>
        <w:rPr>
          <w:rFonts w:hint="default" w:ascii="Times New Roman" w:hAnsi="Times New Roman" w:cs="Times New Roman"/>
          <w:sz w:val="20"/>
          <w:szCs w:val="20"/>
          <w:lang w:val="en-US" w:eastAsia="zh-CN"/>
        </w:rPr>
        <w:t>：巴黎高等视觉设计学院学期交流课程由法国知名设计师、艺术家等亲自授课，注重理论与实践结合，教学紧密对接行业需求。部分师资列举：</w:t>
      </w:r>
    </w:p>
    <w:p w14:paraId="6BB96809">
      <w:pPr>
        <w:numPr>
          <w:ilvl w:val="0"/>
          <w:numId w:val="0"/>
        </w:numPr>
        <w:spacing w:line="360" w:lineRule="auto"/>
        <w:ind w:leftChars="0"/>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Béatrice : 巴黎高等视觉设计学院硕士生导师，曾任顶尖设计工作室Carré Noir副总裁兼创意总监，主导设计巴黎城市标志、乐蓬马歇百货Logo等经典项目。</w:t>
      </w:r>
    </w:p>
    <w:p w14:paraId="0546FC5E">
      <w:pPr>
        <w:numPr>
          <w:ilvl w:val="0"/>
          <w:numId w:val="0"/>
        </w:numPr>
        <w:spacing w:line="360" w:lineRule="auto"/>
        <w:ind w:leftChars="0"/>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drawing>
          <wp:inline distT="0" distB="0" distL="114300" distR="114300">
            <wp:extent cx="4917440" cy="2106930"/>
            <wp:effectExtent l="0" t="0" r="10160" b="1270"/>
            <wp:docPr id="10" name="图片 10" descr="2658faec-adf1-4c0e-8f64-71185be5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658faec-adf1-4c0e-8f64-71185be57589"/>
                    <pic:cNvPicPr>
                      <a:picLocks noChangeAspect="1"/>
                    </pic:cNvPicPr>
                  </pic:nvPicPr>
                  <pic:blipFill>
                    <a:blip r:embed="rId13"/>
                    <a:stretch>
                      <a:fillRect/>
                    </a:stretch>
                  </pic:blipFill>
                  <pic:spPr>
                    <a:xfrm>
                      <a:off x="0" y="0"/>
                      <a:ext cx="4917440" cy="2106930"/>
                    </a:xfrm>
                    <a:prstGeom prst="rect">
                      <a:avLst/>
                    </a:prstGeom>
                  </pic:spPr>
                </pic:pic>
              </a:graphicData>
            </a:graphic>
          </wp:inline>
        </w:drawing>
      </w:r>
    </w:p>
    <w:p w14:paraId="6D8ED03E">
      <w:pPr>
        <w:numPr>
          <w:ilvl w:val="0"/>
          <w:numId w:val="0"/>
        </w:numPr>
        <w:spacing w:line="360" w:lineRule="auto"/>
        <w:ind w:leftChars="0"/>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Paul：Agence W资深设计师，曾参与2024巴黎奥运会视觉形象及体育图标设计，具备国际级赛事视觉策划经验。</w:t>
      </w:r>
    </w:p>
    <w:p w14:paraId="4ED03CD1">
      <w:pPr>
        <w:numPr>
          <w:ilvl w:val="0"/>
          <w:numId w:val="0"/>
        </w:numPr>
        <w:spacing w:line="360" w:lineRule="auto"/>
        <w:ind w:leftChars="0"/>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drawing>
          <wp:inline distT="0" distB="0" distL="114300" distR="114300">
            <wp:extent cx="4839970" cy="2046605"/>
            <wp:effectExtent l="0" t="0" r="11430" b="10795"/>
            <wp:docPr id="11" name="图片 11" descr="4deeb901-7d0d-40b7-a0dc-ac375d613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deeb901-7d0d-40b7-a0dc-ac375d613c76"/>
                    <pic:cNvPicPr>
                      <a:picLocks noChangeAspect="1"/>
                    </pic:cNvPicPr>
                  </pic:nvPicPr>
                  <pic:blipFill>
                    <a:blip r:embed="rId14"/>
                    <a:stretch>
                      <a:fillRect/>
                    </a:stretch>
                  </pic:blipFill>
                  <pic:spPr>
                    <a:xfrm>
                      <a:off x="0" y="0"/>
                      <a:ext cx="4839970" cy="2046605"/>
                    </a:xfrm>
                    <a:prstGeom prst="rect">
                      <a:avLst/>
                    </a:prstGeom>
                  </pic:spPr>
                </pic:pic>
              </a:graphicData>
            </a:graphic>
          </wp:inline>
        </w:drawing>
      </w:r>
    </w:p>
    <w:p w14:paraId="0D3F708F">
      <w:pPr>
        <w:numPr>
          <w:ilvl w:val="0"/>
          <w:numId w:val="0"/>
        </w:numPr>
        <w:spacing w:line="360" w:lineRule="auto"/>
        <w:ind w:leftChars="0"/>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Ruedi Baur : 巴黎高等视觉设计学院硕士生导师、法国著名设计师、社会学家。1989年创立位于巴黎与苏黎世的设计工作室“Intégral Ruedi Baur”擅长于识别、定位、场景设计等议题的跨领域设计，经典案例有纽约新学院、科隆-波昂机场、维也纳机场的指标与方位寻找系统，蓬皮杜艺术中心导视系统、大巴黎地铁快线新路线等。</w:t>
      </w:r>
    </w:p>
    <w:p w14:paraId="323370DD">
      <w:pPr>
        <w:numPr>
          <w:ilvl w:val="0"/>
          <w:numId w:val="0"/>
        </w:numPr>
        <w:spacing w:line="360" w:lineRule="auto"/>
        <w:ind w:leftChars="0"/>
        <w:jc w:val="left"/>
        <w:rPr>
          <w:rFonts w:hint="eastAsia"/>
          <w:sz w:val="20"/>
          <w:szCs w:val="20"/>
          <w:lang w:val="en-US" w:eastAsia="zh-CN"/>
        </w:rPr>
      </w:pPr>
      <w:r>
        <w:rPr>
          <w:rFonts w:ascii="宋体" w:hAnsi="宋体" w:eastAsia="宋体" w:cs="宋体"/>
          <w:kern w:val="0"/>
          <w:sz w:val="20"/>
          <w:szCs w:val="20"/>
          <w:lang w:val="en-US" w:eastAsia="zh-CN" w:bidi="ar"/>
        </w:rPr>
        <w:drawing>
          <wp:inline distT="0" distB="0" distL="114300" distR="114300">
            <wp:extent cx="4981575" cy="1428750"/>
            <wp:effectExtent l="0" t="0" r="9525" b="635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5"/>
                    <a:stretch>
                      <a:fillRect/>
                    </a:stretch>
                  </pic:blipFill>
                  <pic:spPr>
                    <a:xfrm>
                      <a:off x="0" y="0"/>
                      <a:ext cx="4981575" cy="1428750"/>
                    </a:xfrm>
                    <a:prstGeom prst="rect">
                      <a:avLst/>
                    </a:prstGeom>
                    <a:noFill/>
                    <a:ln w="9525">
                      <a:noFill/>
                    </a:ln>
                  </pic:spPr>
                </pic:pic>
              </a:graphicData>
            </a:graphic>
          </wp:inline>
        </w:drawing>
      </w:r>
    </w:p>
    <w:p w14:paraId="1BE2C47A">
      <w:pPr>
        <w:numPr>
          <w:ilvl w:val="0"/>
          <w:numId w:val="3"/>
        </w:numPr>
        <w:spacing w:line="360" w:lineRule="auto"/>
        <w:ind w:left="0" w:leftChars="0" w:firstLine="0" w:firstLineChars="0"/>
        <w:rPr>
          <w:rFonts w:hint="default" w:ascii="Times New Roman" w:hAnsi="Times New Roman" w:cs="Times New Roman"/>
          <w:sz w:val="20"/>
          <w:szCs w:val="20"/>
          <w:lang w:val="en-US" w:eastAsia="zh-CN"/>
        </w:rPr>
      </w:pPr>
      <w:r>
        <w:rPr>
          <w:rFonts w:hint="default" w:ascii="Times New Roman" w:hAnsi="Times New Roman" w:cs="Times New Roman"/>
          <w:b/>
          <w:bCs/>
          <w:sz w:val="20"/>
          <w:szCs w:val="20"/>
          <w:lang w:val="en-US" w:eastAsia="zh-CN"/>
        </w:rPr>
        <w:t>多元化的学习模式与实践机会：</w:t>
      </w:r>
      <w:r>
        <w:rPr>
          <w:rFonts w:hint="default" w:ascii="Times New Roman" w:hAnsi="Times New Roman" w:cs="Times New Roman"/>
          <w:sz w:val="20"/>
          <w:szCs w:val="20"/>
          <w:lang w:val="en-US" w:eastAsia="zh-CN"/>
        </w:rPr>
        <w:t>学校强调理论与实践结合，在日常专业课程之外，积极开设工坊、讲座、设计工作室探访、博物馆参观等专题内容。学生可以深入体验法国院校项目制学习模式，同时还有机会参与校企项目实践机会，全方位提升实践应用能力。</w:t>
      </w:r>
    </w:p>
    <w:p w14:paraId="4E4E8EC7">
      <w:pPr>
        <w:numPr>
          <w:ilvl w:val="0"/>
          <w:numId w:val="0"/>
        </w:numPr>
        <w:spacing w:line="360" w:lineRule="auto"/>
        <w:ind w:leftChars="0"/>
        <w:rPr>
          <w:rFonts w:hint="default" w:ascii="Times New Roman" w:hAnsi="Times New Roman" w:cs="Times New Roman"/>
          <w:sz w:val="20"/>
          <w:szCs w:val="20"/>
          <w:lang w:val="en-US" w:eastAsia="zh-CN"/>
        </w:rPr>
      </w:pPr>
      <w:r>
        <w:rPr>
          <w:rFonts w:ascii="宋体" w:hAnsi="宋体" w:eastAsia="宋体" w:cs="宋体"/>
          <w:kern w:val="0"/>
          <w:sz w:val="24"/>
          <w:szCs w:val="24"/>
          <w:lang w:val="en-US" w:eastAsia="zh-CN" w:bidi="ar"/>
        </w:rPr>
        <w:drawing>
          <wp:inline distT="0" distB="0" distL="114300" distR="114300">
            <wp:extent cx="2562860" cy="1440180"/>
            <wp:effectExtent l="0" t="0" r="2540" b="7620"/>
            <wp:docPr id="2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6"/>
                    <pic:cNvPicPr>
                      <a:picLocks noChangeAspect="1"/>
                    </pic:cNvPicPr>
                  </pic:nvPicPr>
                  <pic:blipFill>
                    <a:blip r:embed="rId16"/>
                    <a:stretch>
                      <a:fillRect/>
                    </a:stretch>
                  </pic:blipFill>
                  <pic:spPr>
                    <a:xfrm>
                      <a:off x="0" y="0"/>
                      <a:ext cx="2562860" cy="1440180"/>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 </w:t>
      </w:r>
      <w:r>
        <w:drawing>
          <wp:inline distT="0" distB="0" distL="114300" distR="114300">
            <wp:extent cx="1115060" cy="1440180"/>
            <wp:effectExtent l="0" t="0" r="254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rcRect t="3302"/>
                    <a:stretch>
                      <a:fillRect/>
                    </a:stretch>
                  </pic:blipFill>
                  <pic:spPr>
                    <a:xfrm>
                      <a:off x="0" y="0"/>
                      <a:ext cx="1115060" cy="1440180"/>
                    </a:xfrm>
                    <a:prstGeom prst="rect">
                      <a:avLst/>
                    </a:prstGeom>
                  </pic:spPr>
                </pic:pic>
              </a:graphicData>
            </a:graphic>
          </wp:inline>
        </w:drawing>
      </w: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1239520" cy="1440180"/>
            <wp:effectExtent l="0" t="0" r="5080" b="7620"/>
            <wp:docPr id="2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IMG_256"/>
                    <pic:cNvPicPr>
                      <a:picLocks noChangeAspect="1"/>
                    </pic:cNvPicPr>
                  </pic:nvPicPr>
                  <pic:blipFill>
                    <a:blip r:embed="rId18"/>
                    <a:stretch>
                      <a:fillRect/>
                    </a:stretch>
                  </pic:blipFill>
                  <pic:spPr>
                    <a:xfrm>
                      <a:off x="0" y="0"/>
                      <a:ext cx="1239520" cy="1440180"/>
                    </a:xfrm>
                    <a:prstGeom prst="rect">
                      <a:avLst/>
                    </a:prstGeom>
                    <a:noFill/>
                    <a:ln w="9525">
                      <a:noFill/>
                    </a:ln>
                  </pic:spPr>
                </pic:pic>
              </a:graphicData>
            </a:graphic>
          </wp:inline>
        </w:drawing>
      </w:r>
    </w:p>
    <w:p w14:paraId="1A9E2269">
      <w:pPr>
        <w:numPr>
          <w:ilvl w:val="0"/>
          <w:numId w:val="3"/>
        </w:numPr>
        <w:spacing w:line="360" w:lineRule="auto"/>
        <w:ind w:left="0" w:leftChars="0" w:firstLine="0" w:firstLineChars="0"/>
        <w:rPr>
          <w:rFonts w:hint="default" w:ascii="Times New Roman" w:hAnsi="Times New Roman" w:cs="Times New Roman"/>
          <w:sz w:val="20"/>
          <w:szCs w:val="20"/>
          <w:lang w:val="en-US" w:eastAsia="zh-CN"/>
        </w:rPr>
      </w:pPr>
      <w:r>
        <w:rPr>
          <w:rFonts w:hint="default" w:ascii="Times New Roman" w:hAnsi="Times New Roman" w:cs="Times New Roman"/>
          <w:b/>
          <w:bCs/>
          <w:sz w:val="20"/>
          <w:szCs w:val="20"/>
          <w:lang w:val="en-US" w:eastAsia="zh-CN"/>
        </w:rPr>
        <w:t>学分认证与背景提升：</w:t>
      </w:r>
      <w:r>
        <w:rPr>
          <w:rFonts w:hint="default" w:ascii="Times New Roman" w:hAnsi="Times New Roman" w:cs="Times New Roman"/>
          <w:sz w:val="20"/>
          <w:szCs w:val="20"/>
          <w:lang w:val="en-US" w:eastAsia="zh-CN"/>
        </w:rPr>
        <w:t>学期交流项目可获得巴黎高等视觉设计学院官方学习证明，学分可认证，优秀学生可获推荐信，助力背景提升、学历申请与职业发展。</w:t>
      </w:r>
    </w:p>
    <w:p w14:paraId="70767AC0">
      <w:pPr>
        <w:numPr>
          <w:ilvl w:val="0"/>
          <w:numId w:val="3"/>
        </w:numPr>
        <w:spacing w:line="360" w:lineRule="auto"/>
        <w:ind w:left="0" w:leftChars="0" w:firstLine="0" w:firstLineChars="0"/>
        <w:jc w:val="both"/>
        <w:rPr>
          <w:rFonts w:hint="default"/>
          <w:sz w:val="20"/>
          <w:szCs w:val="20"/>
          <w:lang w:val="en-US" w:eastAsia="zh-CN"/>
        </w:rPr>
      </w:pPr>
      <w:r>
        <w:rPr>
          <w:rFonts w:hint="default" w:ascii="Times New Roman" w:hAnsi="Times New Roman" w:cs="Times New Roman"/>
          <w:b/>
          <w:bCs/>
          <w:sz w:val="20"/>
          <w:szCs w:val="20"/>
          <w:lang w:val="en-US" w:eastAsia="zh-CN"/>
        </w:rPr>
        <w:t>艺术创意人才的摇篮：</w:t>
      </w:r>
      <w:r>
        <w:rPr>
          <w:rFonts w:hint="default" w:ascii="Times New Roman" w:hAnsi="Times New Roman" w:cs="Times New Roman"/>
          <w:sz w:val="20"/>
          <w:szCs w:val="20"/>
          <w:lang w:val="en-US" w:eastAsia="zh-CN"/>
        </w:rPr>
        <w:t>法国坐拥</w:t>
      </w:r>
      <w:r>
        <w:rPr>
          <w:rFonts w:hint="default" w:ascii="Times New Roman" w:hAnsi="Times New Roman" w:cs="Times New Roman"/>
          <w:b/>
          <w:bCs/>
          <w:sz w:val="20"/>
          <w:szCs w:val="20"/>
          <w:lang w:val="en-US" w:eastAsia="zh-CN"/>
        </w:rPr>
        <w:t>1万</w:t>
      </w:r>
      <w:r>
        <w:rPr>
          <w:rFonts w:hint="default" w:ascii="Times New Roman" w:hAnsi="Times New Roman" w:cs="Times New Roman"/>
          <w:sz w:val="20"/>
          <w:szCs w:val="20"/>
          <w:lang w:val="en-US" w:eastAsia="zh-CN"/>
        </w:rPr>
        <w:t>家艺术机构、</w:t>
      </w:r>
      <w:r>
        <w:rPr>
          <w:rFonts w:hint="default" w:ascii="Times New Roman" w:hAnsi="Times New Roman" w:cs="Times New Roman"/>
          <w:b/>
          <w:bCs/>
          <w:sz w:val="20"/>
          <w:szCs w:val="20"/>
          <w:lang w:val="en-US" w:eastAsia="zh-CN"/>
        </w:rPr>
        <w:t>45万</w:t>
      </w:r>
      <w:r>
        <w:rPr>
          <w:rFonts w:hint="default" w:ascii="Times New Roman" w:hAnsi="Times New Roman" w:cs="Times New Roman"/>
          <w:sz w:val="20"/>
          <w:szCs w:val="20"/>
          <w:lang w:val="en-US" w:eastAsia="zh-CN"/>
        </w:rPr>
        <w:t>文化从业者、</w:t>
      </w:r>
      <w:r>
        <w:rPr>
          <w:rFonts w:hint="default" w:ascii="Times New Roman" w:hAnsi="Times New Roman" w:cs="Times New Roman"/>
          <w:b/>
          <w:bCs/>
          <w:sz w:val="20"/>
          <w:szCs w:val="20"/>
          <w:lang w:val="en-US" w:eastAsia="zh-CN"/>
        </w:rPr>
        <w:t>千场</w:t>
      </w:r>
      <w:r>
        <w:rPr>
          <w:rFonts w:hint="default" w:ascii="Times New Roman" w:hAnsi="Times New Roman" w:cs="Times New Roman"/>
          <w:sz w:val="20"/>
          <w:szCs w:val="20"/>
          <w:lang w:val="en-US" w:eastAsia="zh-CN"/>
        </w:rPr>
        <w:t>年度国际艺术盛事；诸多世界知名企业（时尚、设计、建筑、新技术及艺术类等）均源起于法国。在这里，学生既能汲取传统艺术养分，又能参与前沿创作，在跨文化交流中拓展艺术视野与职业可能。</w:t>
      </w:r>
    </w:p>
    <w:p w14:paraId="7940FD61">
      <w:pPr>
        <w:numPr>
          <w:ilvl w:val="0"/>
          <w:numId w:val="0"/>
        </w:numPr>
        <w:spacing w:line="360" w:lineRule="auto"/>
        <w:ind w:leftChars="0"/>
        <w:jc w:val="both"/>
        <w:rPr>
          <w:rFonts w:hint="default" w:ascii="Times New Roman" w:hAnsi="Times New Roman" w:cs="Times New Roman"/>
          <w:sz w:val="20"/>
          <w:szCs w:val="20"/>
          <w:lang w:val="en-US" w:eastAsia="zh-CN"/>
        </w:rPr>
      </w:pPr>
    </w:p>
    <w:p w14:paraId="5FFBF87C">
      <w:pPr>
        <w:numPr>
          <w:ilvl w:val="0"/>
          <w:numId w:val="0"/>
        </w:numPr>
        <w:spacing w:line="360" w:lineRule="auto"/>
        <w:ind w:leftChars="0"/>
        <w:jc w:val="both"/>
        <w:rPr>
          <w:rFonts w:hint="default" w:ascii="Times New Roman" w:hAnsi="Times New Roman" w:cs="Times New Roman"/>
          <w:b/>
          <w:bCs/>
          <w:sz w:val="20"/>
          <w:szCs w:val="20"/>
          <w:lang w:val="en-US" w:eastAsia="zh-CN"/>
        </w:rPr>
      </w:pPr>
      <w:r>
        <w:rPr>
          <w:rFonts w:hint="eastAsia" w:ascii="Times New Roman" w:hAnsi="Times New Roman" w:cs="Times New Roman"/>
          <w:b/>
          <w:bCs/>
          <w:sz w:val="20"/>
          <w:szCs w:val="20"/>
          <w:lang w:val="en-US" w:eastAsia="zh-CN"/>
        </w:rPr>
        <w:t>四、项目咨询</w:t>
      </w:r>
    </w:p>
    <w:p w14:paraId="0D655421">
      <w:pPr>
        <w:spacing w:line="360" w:lineRule="auto"/>
        <w:jc w:val="both"/>
        <w:rPr>
          <w:rFonts w:hint="default"/>
          <w:sz w:val="20"/>
          <w:szCs w:val="20"/>
          <w:lang w:val="en-US" w:eastAsia="zh-CN"/>
        </w:rPr>
      </w:pPr>
      <w:r>
        <w:rPr>
          <w:rFonts w:hint="default"/>
          <w:sz w:val="20"/>
          <w:szCs w:val="20"/>
          <w:lang w:val="en-US" w:eastAsia="zh-CN"/>
        </w:rPr>
        <w:t>1. 申请截止时间：学期项目12月30日、6月30日（名额有限，建议尽早申请）</w:t>
      </w:r>
    </w:p>
    <w:p w14:paraId="28F8E3B4">
      <w:pPr>
        <w:spacing w:line="360" w:lineRule="auto"/>
        <w:jc w:val="both"/>
        <w:rPr>
          <w:rFonts w:hint="default"/>
          <w:sz w:val="20"/>
          <w:szCs w:val="20"/>
          <w:lang w:val="en-US" w:eastAsia="zh-CN"/>
        </w:rPr>
      </w:pPr>
      <w:r>
        <w:rPr>
          <w:rFonts w:hint="default"/>
          <w:sz w:val="20"/>
          <w:szCs w:val="20"/>
          <w:lang w:val="en-US" w:eastAsia="zh-CN"/>
        </w:rPr>
        <w:t>2. 学生联系法国校方</w:t>
      </w:r>
      <w:r>
        <w:rPr>
          <w:rFonts w:hint="eastAsia" w:ascii="Times New Roman" w:hAnsi="Times New Roman" w:cs="Times New Roman"/>
          <w:sz w:val="20"/>
          <w:szCs w:val="20"/>
          <w:lang w:val="en-US" w:eastAsia="zh-CN"/>
        </w:rPr>
        <w:t>李</w:t>
      </w:r>
      <w:r>
        <w:rPr>
          <w:rFonts w:hint="default" w:ascii="Times New Roman" w:hAnsi="Times New Roman" w:cs="Times New Roman"/>
          <w:sz w:val="20"/>
          <w:szCs w:val="20"/>
          <w:lang w:val="en-US" w:eastAsia="zh-CN"/>
        </w:rPr>
        <w:t xml:space="preserve">老师 </w:t>
      </w:r>
      <w:r>
        <w:rPr>
          <w:rFonts w:hint="eastAsia" w:ascii="Times New Roman" w:hAnsi="Times New Roman" w:cs="Times New Roman"/>
          <w:sz w:val="20"/>
          <w:szCs w:val="20"/>
          <w:lang w:val="en-US" w:eastAsia="zh-CN"/>
        </w:rPr>
        <w:t>131 6716 1019</w:t>
      </w:r>
      <w:r>
        <w:rPr>
          <w:rFonts w:hint="default"/>
          <w:sz w:val="20"/>
          <w:szCs w:val="20"/>
          <w:lang w:val="en-US" w:eastAsia="zh-CN"/>
        </w:rPr>
        <w:t>获取相关项目申请表即为报名申请流程启动</w:t>
      </w:r>
      <w:r>
        <w:rPr>
          <w:rFonts w:hint="eastAsia"/>
          <w:sz w:val="20"/>
          <w:szCs w:val="20"/>
          <w:lang w:val="en-US" w:eastAsia="zh-CN"/>
        </w:rPr>
        <w:t>，并同步</w:t>
      </w:r>
      <w:r>
        <w:rPr>
          <w:rFonts w:hint="default"/>
          <w:sz w:val="20"/>
          <w:szCs w:val="20"/>
          <w:lang w:val="en-US" w:eastAsia="zh-CN"/>
        </w:rPr>
        <w:t>准备相关项目材料（如个别材料暂无，可与老师沟通分批次提交）。所有材料请于截止日期前以电子版形式发送至邮箱：info.shanghai@ecole-intuit.lab.com</w:t>
      </w:r>
    </w:p>
    <w:p w14:paraId="049B2600">
      <w:pPr>
        <w:spacing w:line="360" w:lineRule="auto"/>
        <w:jc w:val="both"/>
        <w:rPr>
          <w:rFonts w:hint="default"/>
          <w:sz w:val="20"/>
          <w:szCs w:val="20"/>
          <w:lang w:val="en-US" w:eastAsia="zh-CN"/>
        </w:rPr>
      </w:pPr>
      <w:r>
        <w:rPr>
          <w:rFonts w:hint="default"/>
          <w:sz w:val="20"/>
          <w:szCs w:val="20"/>
          <w:lang w:val="en-US" w:eastAsia="zh-CN"/>
        </w:rPr>
        <w:t>3. 学生申请资料经初步审核后，达到要求者参加面试，顺利获得法国学校录取通知书及法国签证后赴法学习。</w:t>
      </w:r>
    </w:p>
    <w:p w14:paraId="640F956D">
      <w:pPr>
        <w:widowControl w:val="0"/>
        <w:numPr>
          <w:ilvl w:val="0"/>
          <w:numId w:val="0"/>
        </w:numPr>
        <w:spacing w:line="360" w:lineRule="auto"/>
        <w:ind w:leftChars="0"/>
        <w:jc w:val="both"/>
        <w:rPr>
          <w:rFonts w:hint="default"/>
          <w:sz w:val="20"/>
          <w:szCs w:val="20"/>
          <w:lang w:val="en-US" w:eastAsia="zh-CN"/>
        </w:rPr>
      </w:pPr>
      <w:r>
        <w:rPr>
          <w:rFonts w:hint="eastAsia" w:ascii="Times New Roman" w:hAnsi="Times New Roman" w:cs="Times New Roman"/>
          <w:sz w:val="20"/>
          <w:szCs w:val="20"/>
          <w:lang w:val="en-US" w:eastAsia="zh-CN"/>
        </w:rPr>
        <w:t>* 请有意向的学生第一时间联络，并及时办理护照。</w:t>
      </w:r>
    </w:p>
    <w:sectPr>
      <w:footerReference r:id="rId3" w:type="default"/>
      <w:pgSz w:w="11906" w:h="16838"/>
      <w:pgMar w:top="1134" w:right="1701" w:bottom="1134" w:left="170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B842E">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90C816">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E90C816">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DF9D6A"/>
    <w:multiLevelType w:val="singleLevel"/>
    <w:tmpl w:val="29DF9D6A"/>
    <w:lvl w:ilvl="0" w:tentative="0">
      <w:start w:val="1"/>
      <w:numFmt w:val="decimal"/>
      <w:suff w:val="space"/>
      <w:lvlText w:val="%1."/>
      <w:lvlJc w:val="left"/>
      <w:rPr>
        <w:rFonts w:hint="default"/>
        <w:b/>
        <w:bCs/>
      </w:rPr>
    </w:lvl>
  </w:abstractNum>
  <w:abstractNum w:abstractNumId="1">
    <w:nsid w:val="72CADCFE"/>
    <w:multiLevelType w:val="singleLevel"/>
    <w:tmpl w:val="72CADCFE"/>
    <w:lvl w:ilvl="0" w:tentative="0">
      <w:start w:val="1"/>
      <w:numFmt w:val="decimal"/>
      <w:suff w:val="space"/>
      <w:lvlText w:val="%1."/>
      <w:lvlJc w:val="left"/>
      <w:rPr>
        <w:rFonts w:hint="default"/>
        <w:b/>
        <w:bCs/>
      </w:rPr>
    </w:lvl>
  </w:abstractNum>
  <w:abstractNum w:abstractNumId="2">
    <w:nsid w:val="7A452F9E"/>
    <w:multiLevelType w:val="singleLevel"/>
    <w:tmpl w:val="7A452F9E"/>
    <w:lvl w:ilvl="0" w:tentative="0">
      <w:start w:val="2"/>
      <w:numFmt w:val="chineseCounting"/>
      <w:suff w:val="nothing"/>
      <w:lvlText w:val="%1、"/>
      <w:lvlJc w:val="left"/>
      <w:rPr>
        <w:rFonts w:hint="eastAsia"/>
        <w:b/>
        <w:bC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C6746F"/>
    <w:rsid w:val="02152D47"/>
    <w:rsid w:val="03933600"/>
    <w:rsid w:val="06572284"/>
    <w:rsid w:val="09DA2DC1"/>
    <w:rsid w:val="0C1E7DBD"/>
    <w:rsid w:val="12C6746F"/>
    <w:rsid w:val="14DF0B19"/>
    <w:rsid w:val="167C285D"/>
    <w:rsid w:val="19DE1E4D"/>
    <w:rsid w:val="1CF257EA"/>
    <w:rsid w:val="23ED3AA1"/>
    <w:rsid w:val="247C0B22"/>
    <w:rsid w:val="2C3813E6"/>
    <w:rsid w:val="2C9B0807"/>
    <w:rsid w:val="2DC01E90"/>
    <w:rsid w:val="332F233D"/>
    <w:rsid w:val="37140C7E"/>
    <w:rsid w:val="3B773A75"/>
    <w:rsid w:val="3CC32904"/>
    <w:rsid w:val="3E7E7EA2"/>
    <w:rsid w:val="46974C39"/>
    <w:rsid w:val="46FF5915"/>
    <w:rsid w:val="47CB3FA3"/>
    <w:rsid w:val="4BDC6C88"/>
    <w:rsid w:val="4D8308BE"/>
    <w:rsid w:val="4D9000A6"/>
    <w:rsid w:val="4E0607CC"/>
    <w:rsid w:val="53D224B3"/>
    <w:rsid w:val="5E2C27BF"/>
    <w:rsid w:val="62F97975"/>
    <w:rsid w:val="6A06348D"/>
    <w:rsid w:val="6C900D0D"/>
    <w:rsid w:val="6E6529EB"/>
    <w:rsid w:val="70076BE8"/>
    <w:rsid w:val="78CD47BD"/>
    <w:rsid w:val="7984206B"/>
    <w:rsid w:val="7B252F40"/>
    <w:rsid w:val="7C376250"/>
    <w:rsid w:val="7FD756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2010</Words>
  <Characters>2204</Characters>
  <Lines>0</Lines>
  <Paragraphs>0</Paragraphs>
  <TotalTime>5</TotalTime>
  <ScaleCrop>false</ScaleCrop>
  <LinksUpToDate>false</LinksUpToDate>
  <CharactersWithSpaces>2228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2025-08-18T03:46:00Z</dcterms:created>
  <dc:creator>Claire</dc:creator>
  <cp:lastModifiedBy>Claire</cp:lastModifiedBy>
  <dcterms:modified xsi:type="dcterms:W3CDTF">2025-10-23T02:20:42Z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5568926DD3E84CE5BA9C625041435147_11</vt:lpwstr>
  </property>
  <property fmtid="{D5CDD505-2E9C-101B-9397-08002B2CF9AE}" pid="4" name="KSOTemplateDocerSaveRecord">
    <vt:lpwstr>eyJoZGlkIjoiYmI1MDhiZGFjNjY2ZjczZmZjZTVhMmI4ZDA5YWRmNjciLCJ1c2VySWQiOiIxNjgzMTM1MDE0In0=</vt:lpwstr>
  </property>
</Properties>
</file>